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 w:type="dxa"/>
        <w:tblLook w:val="00A0" w:firstRow="1" w:lastRow="0" w:firstColumn="1" w:lastColumn="0" w:noHBand="0" w:noVBand="0"/>
      </w:tblPr>
      <w:tblGrid>
        <w:gridCol w:w="392"/>
        <w:gridCol w:w="7968"/>
      </w:tblGrid>
      <w:tr w:rsidR="00D35C7F" w:rsidRPr="004D4FC6" w14:paraId="3B5F20CD" w14:textId="77777777">
        <w:tc>
          <w:tcPr>
            <w:tcW w:w="392" w:type="dxa"/>
            <w:shd w:val="clear" w:color="auto" w:fill="0F243E"/>
          </w:tcPr>
          <w:p w14:paraId="3DD39B85" w14:textId="66CDC108" w:rsidR="00D35C7F" w:rsidRPr="00E92483" w:rsidRDefault="00D35C7F" w:rsidP="000E6382">
            <w:pPr>
              <w:spacing w:line="360" w:lineRule="auto"/>
              <w:jc w:val="center"/>
              <w:rPr>
                <w:rFonts w:ascii="Arial" w:hAnsi="Arial" w:cs="Arial"/>
                <w:b/>
                <w:bCs/>
                <w:color w:val="FFFFFF"/>
                <w:sz w:val="28"/>
                <w:szCs w:val="28"/>
              </w:rPr>
            </w:pPr>
          </w:p>
        </w:tc>
        <w:tc>
          <w:tcPr>
            <w:tcW w:w="7968" w:type="dxa"/>
            <w:shd w:val="clear" w:color="auto" w:fill="DBE5F1"/>
          </w:tcPr>
          <w:p w14:paraId="7A020AA4" w14:textId="007A1339" w:rsidR="00D35C7F" w:rsidRPr="00D45A7F" w:rsidRDefault="00D45A7F" w:rsidP="000E6382">
            <w:pPr>
              <w:spacing w:line="360" w:lineRule="auto"/>
              <w:jc w:val="center"/>
              <w:rPr>
                <w:rFonts w:ascii="Arial" w:hAnsi="Arial" w:cs="Arial"/>
                <w:b/>
                <w:bCs/>
                <w:sz w:val="18"/>
                <w:szCs w:val="18"/>
              </w:rPr>
            </w:pPr>
            <w:r>
              <w:rPr>
                <w:rFonts w:ascii="Arial" w:hAnsi="Arial" w:cs="Arial"/>
                <w:b/>
                <w:bCs/>
                <w:sz w:val="32"/>
                <w:szCs w:val="28"/>
              </w:rPr>
              <w:t>Percepción de competencias para la e</w:t>
            </w:r>
            <w:r w:rsidRPr="00D45A7F">
              <w:rPr>
                <w:rFonts w:ascii="Arial" w:hAnsi="Arial" w:cs="Arial"/>
                <w:b/>
                <w:bCs/>
                <w:sz w:val="32"/>
                <w:szCs w:val="28"/>
              </w:rPr>
              <w:t>mpleabilidad</w:t>
            </w:r>
            <w:r>
              <w:rPr>
                <w:rFonts w:ascii="Arial" w:hAnsi="Arial" w:cs="Arial"/>
                <w:b/>
                <w:bCs/>
                <w:sz w:val="32"/>
                <w:szCs w:val="28"/>
              </w:rPr>
              <w:t xml:space="preserve"> </w:t>
            </w:r>
            <w:r w:rsidRPr="00D45A7F">
              <w:rPr>
                <w:rFonts w:ascii="Arial" w:hAnsi="Arial" w:cs="Arial"/>
                <w:b/>
                <w:bCs/>
                <w:sz w:val="32"/>
                <w:szCs w:val="28"/>
              </w:rPr>
              <w:t xml:space="preserve">desde </w:t>
            </w:r>
            <w:r>
              <w:rPr>
                <w:rFonts w:ascii="Arial" w:hAnsi="Arial" w:cs="Arial"/>
                <w:b/>
                <w:bCs/>
                <w:sz w:val="32"/>
                <w:szCs w:val="28"/>
              </w:rPr>
              <w:t xml:space="preserve">la </w:t>
            </w:r>
            <w:r w:rsidRPr="00D45A7F">
              <w:rPr>
                <w:rFonts w:ascii="Arial" w:hAnsi="Arial" w:cs="Arial"/>
                <w:b/>
                <w:bCs/>
                <w:sz w:val="32"/>
                <w:szCs w:val="28"/>
              </w:rPr>
              <w:t>perspectiva de género</w:t>
            </w:r>
            <w:r w:rsidR="00B30A65">
              <w:rPr>
                <w:rFonts w:ascii="Arial" w:hAnsi="Arial" w:cs="Arial"/>
                <w:b/>
                <w:bCs/>
                <w:sz w:val="32"/>
                <w:szCs w:val="28"/>
              </w:rPr>
              <w:t xml:space="preserve"> y país</w:t>
            </w:r>
          </w:p>
        </w:tc>
      </w:tr>
    </w:tbl>
    <w:p w14:paraId="4B7A2F9D" w14:textId="3A95F2E5" w:rsidR="00D35C7F" w:rsidRDefault="00D35C7F" w:rsidP="000E6382">
      <w:pPr>
        <w:spacing w:line="360" w:lineRule="auto"/>
      </w:pPr>
    </w:p>
    <w:p w14:paraId="0B8D8137" w14:textId="2A276356" w:rsidR="00646E50" w:rsidRPr="00646E50" w:rsidRDefault="00646E50" w:rsidP="000E6382">
      <w:pPr>
        <w:spacing w:line="360" w:lineRule="auto"/>
        <w:jc w:val="center"/>
        <w:rPr>
          <w:vertAlign w:val="superscript"/>
        </w:rPr>
      </w:pPr>
      <w:r>
        <w:t xml:space="preserve">Peña Cheng Lourdes Magdalena </w:t>
      </w:r>
      <w:r>
        <w:rPr>
          <w:vertAlign w:val="superscript"/>
        </w:rPr>
        <w:t>(1)</w:t>
      </w:r>
      <w:r w:rsidRPr="00646E50">
        <w:t>,</w:t>
      </w:r>
      <w:r>
        <w:t xml:space="preserve"> Díaz Vargas</w:t>
      </w:r>
      <w:r w:rsidRPr="00646E50">
        <w:t xml:space="preserve"> </w:t>
      </w:r>
      <w:r>
        <w:t xml:space="preserve">Esperanza </w:t>
      </w:r>
      <w:r>
        <w:rPr>
          <w:vertAlign w:val="superscript"/>
        </w:rPr>
        <w:t>(2)</w:t>
      </w:r>
      <w:r>
        <w:t>, Prado Rebolledo</w:t>
      </w:r>
      <w:r w:rsidRPr="00646E50">
        <w:t xml:space="preserve"> </w:t>
      </w:r>
      <w:r>
        <w:t xml:space="preserve">Isela </w:t>
      </w:r>
      <w:r>
        <w:rPr>
          <w:vertAlign w:val="superscript"/>
        </w:rPr>
        <w:t>(1)</w:t>
      </w:r>
    </w:p>
    <w:p w14:paraId="4EA2C829" w14:textId="29D9B0A9" w:rsidR="00646E50" w:rsidRPr="00646E50" w:rsidRDefault="00646E50" w:rsidP="000E6382">
      <w:pPr>
        <w:spacing w:line="360" w:lineRule="auto"/>
        <w:jc w:val="center"/>
        <w:rPr>
          <w:color w:val="244061"/>
          <w:szCs w:val="20"/>
          <w:vertAlign w:val="superscript"/>
        </w:rPr>
      </w:pPr>
      <w:r w:rsidRPr="00646E50">
        <w:rPr>
          <w:color w:val="244061"/>
          <w:sz w:val="23"/>
          <w:szCs w:val="23"/>
        </w:rPr>
        <w:t>Universidad Tecnológica de Querétaro, México</w:t>
      </w:r>
      <w:r>
        <w:rPr>
          <w:color w:val="244061"/>
          <w:szCs w:val="20"/>
          <w:vertAlign w:val="superscript"/>
        </w:rPr>
        <w:t xml:space="preserve"> (1)</w:t>
      </w:r>
      <w:r>
        <w:rPr>
          <w:color w:val="244061"/>
          <w:szCs w:val="20"/>
        </w:rPr>
        <w:t xml:space="preserve">; </w:t>
      </w:r>
      <w:r w:rsidRPr="00646E50">
        <w:rPr>
          <w:color w:val="244061"/>
          <w:sz w:val="23"/>
          <w:szCs w:val="23"/>
        </w:rPr>
        <w:t>Universidad de La Salle, Colombia</w:t>
      </w:r>
      <w:r>
        <w:rPr>
          <w:color w:val="244061"/>
          <w:szCs w:val="20"/>
        </w:rPr>
        <w:t xml:space="preserve"> </w:t>
      </w:r>
      <w:r>
        <w:rPr>
          <w:color w:val="244061"/>
          <w:szCs w:val="20"/>
          <w:vertAlign w:val="superscript"/>
        </w:rPr>
        <w:t>(2)</w:t>
      </w:r>
    </w:p>
    <w:p w14:paraId="070CC14E" w14:textId="77777777" w:rsidR="006D2662" w:rsidRDefault="006D2662" w:rsidP="000E6382">
      <w:pPr>
        <w:spacing w:line="360" w:lineRule="auto"/>
        <w:jc w:val="both"/>
        <w:rPr>
          <w:rFonts w:ascii="Arial" w:hAnsi="Arial" w:cs="Arial"/>
          <w:i/>
          <w:sz w:val="20"/>
          <w:szCs w:val="20"/>
        </w:rPr>
      </w:pPr>
    </w:p>
    <w:p w14:paraId="6847ECA5" w14:textId="08494DFE" w:rsidR="00D35C7F" w:rsidRPr="00F21071" w:rsidRDefault="00D35C7F" w:rsidP="000E6382">
      <w:pPr>
        <w:spacing w:line="360" w:lineRule="auto"/>
        <w:rPr>
          <w:color w:val="244061"/>
          <w:sz w:val="28"/>
        </w:rPr>
      </w:pPr>
      <w:r w:rsidRPr="00F21071">
        <w:rPr>
          <w:b/>
          <w:color w:val="244061"/>
          <w:sz w:val="28"/>
        </w:rPr>
        <w:t>Resumen</w:t>
      </w:r>
    </w:p>
    <w:p w14:paraId="17F041F0" w14:textId="52D34AA5" w:rsidR="002A365E" w:rsidRDefault="00723494" w:rsidP="000E6382">
      <w:pPr>
        <w:jc w:val="both"/>
        <w:rPr>
          <w:i/>
          <w:szCs w:val="20"/>
        </w:rPr>
      </w:pPr>
      <w:r>
        <w:rPr>
          <w:i/>
          <w:szCs w:val="20"/>
        </w:rPr>
        <w:t>Actualmente</w:t>
      </w:r>
      <w:r w:rsidR="00A73FAB">
        <w:rPr>
          <w:i/>
          <w:szCs w:val="20"/>
        </w:rPr>
        <w:t>,</w:t>
      </w:r>
      <w:r w:rsidR="00250918">
        <w:rPr>
          <w:i/>
          <w:szCs w:val="20"/>
        </w:rPr>
        <w:t xml:space="preserve"> </w:t>
      </w:r>
      <w:r w:rsidR="00A73FAB">
        <w:rPr>
          <w:i/>
          <w:szCs w:val="20"/>
        </w:rPr>
        <w:t>existe</w:t>
      </w:r>
      <w:r w:rsidR="00250918">
        <w:rPr>
          <w:i/>
          <w:szCs w:val="20"/>
        </w:rPr>
        <w:t xml:space="preserve"> interés de las universidades </w:t>
      </w:r>
      <w:r w:rsidR="00A73FAB">
        <w:rPr>
          <w:i/>
          <w:szCs w:val="20"/>
        </w:rPr>
        <w:t>por favorecer la empleabilidad</w:t>
      </w:r>
      <w:r w:rsidR="00A73FAB" w:rsidRPr="00A73FAB">
        <w:rPr>
          <w:i/>
          <w:szCs w:val="20"/>
        </w:rPr>
        <w:t xml:space="preserve"> </w:t>
      </w:r>
      <w:r w:rsidR="00A73FAB">
        <w:rPr>
          <w:i/>
          <w:szCs w:val="20"/>
        </w:rPr>
        <w:t xml:space="preserve">de sus </w:t>
      </w:r>
      <w:r w:rsidR="00A73FAB" w:rsidRPr="00250918">
        <w:rPr>
          <w:i/>
          <w:szCs w:val="20"/>
        </w:rPr>
        <w:t>e</w:t>
      </w:r>
      <w:r w:rsidR="00A73FAB">
        <w:rPr>
          <w:i/>
          <w:szCs w:val="20"/>
        </w:rPr>
        <w:t>gresados, desarrollando sus</w:t>
      </w:r>
      <w:r w:rsidR="00646E50" w:rsidRPr="00250918">
        <w:rPr>
          <w:i/>
          <w:szCs w:val="20"/>
        </w:rPr>
        <w:t xml:space="preserve"> </w:t>
      </w:r>
      <w:r w:rsidR="00250918">
        <w:rPr>
          <w:i/>
          <w:szCs w:val="20"/>
        </w:rPr>
        <w:t>competencias</w:t>
      </w:r>
      <w:r w:rsidR="00A73FAB">
        <w:rPr>
          <w:i/>
          <w:szCs w:val="20"/>
        </w:rPr>
        <w:t>. L</w:t>
      </w:r>
      <w:r w:rsidR="00250918">
        <w:rPr>
          <w:i/>
          <w:szCs w:val="20"/>
        </w:rPr>
        <w:t>as e</w:t>
      </w:r>
      <w:r w:rsidR="00646E50" w:rsidRPr="00250918">
        <w:rPr>
          <w:i/>
          <w:szCs w:val="20"/>
        </w:rPr>
        <w:t xml:space="preserve">strategias de fortalecimiento requieren un punto de partida, basado en </w:t>
      </w:r>
      <w:r>
        <w:rPr>
          <w:i/>
          <w:szCs w:val="20"/>
        </w:rPr>
        <w:t>comprender</w:t>
      </w:r>
      <w:r w:rsidR="00646E50" w:rsidRPr="00250918">
        <w:rPr>
          <w:i/>
          <w:szCs w:val="20"/>
        </w:rPr>
        <w:t xml:space="preserve"> la percepción de los estudiantes con respecto </w:t>
      </w:r>
      <w:r w:rsidR="00A73FAB">
        <w:rPr>
          <w:i/>
          <w:szCs w:val="20"/>
        </w:rPr>
        <w:t>a</w:t>
      </w:r>
      <w:r w:rsidR="00646E50" w:rsidRPr="00250918">
        <w:rPr>
          <w:i/>
          <w:szCs w:val="20"/>
        </w:rPr>
        <w:t xml:space="preserve"> sus competencias. Esta investigación</w:t>
      </w:r>
      <w:r w:rsidR="00A73FAB">
        <w:rPr>
          <w:i/>
          <w:szCs w:val="20"/>
        </w:rPr>
        <w:t>,</w:t>
      </w:r>
      <w:r w:rsidR="00646E50" w:rsidRPr="00250918">
        <w:rPr>
          <w:i/>
          <w:szCs w:val="20"/>
        </w:rPr>
        <w:t xml:space="preserve"> describ</w:t>
      </w:r>
      <w:r w:rsidR="00F438E3">
        <w:rPr>
          <w:i/>
          <w:szCs w:val="20"/>
        </w:rPr>
        <w:t>e</w:t>
      </w:r>
      <w:r w:rsidR="00646E50" w:rsidRPr="00250918">
        <w:rPr>
          <w:i/>
          <w:szCs w:val="20"/>
        </w:rPr>
        <w:t xml:space="preserve"> la percepción de universitarios con respecto a</w:t>
      </w:r>
      <w:r w:rsidR="00250918">
        <w:rPr>
          <w:i/>
          <w:szCs w:val="20"/>
        </w:rPr>
        <w:t xml:space="preserve">l impacto en la empleabilidad </w:t>
      </w:r>
      <w:r w:rsidR="00646E50" w:rsidRPr="00250918">
        <w:rPr>
          <w:i/>
          <w:szCs w:val="20"/>
        </w:rPr>
        <w:t xml:space="preserve">de las competencias clave desde </w:t>
      </w:r>
      <w:r w:rsidR="00250918">
        <w:rPr>
          <w:i/>
          <w:szCs w:val="20"/>
        </w:rPr>
        <w:t>do</w:t>
      </w:r>
      <w:r w:rsidR="00646E50" w:rsidRPr="00250918">
        <w:rPr>
          <w:i/>
          <w:szCs w:val="20"/>
        </w:rPr>
        <w:t xml:space="preserve">s perspectivas; </w:t>
      </w:r>
      <w:r w:rsidR="00250918">
        <w:rPr>
          <w:i/>
          <w:szCs w:val="20"/>
        </w:rPr>
        <w:t>el género y el país en que estudian.</w:t>
      </w:r>
      <w:r w:rsidR="00646E50" w:rsidRPr="00250918">
        <w:rPr>
          <w:i/>
          <w:szCs w:val="20"/>
        </w:rPr>
        <w:t xml:space="preserve"> El instrumento de jerarquización de preguntas cerradas </w:t>
      </w:r>
      <w:r>
        <w:rPr>
          <w:i/>
          <w:szCs w:val="20"/>
        </w:rPr>
        <w:t>fue aplicado a</w:t>
      </w:r>
      <w:r w:rsidR="00646E50" w:rsidRPr="00250918">
        <w:rPr>
          <w:i/>
          <w:szCs w:val="20"/>
        </w:rPr>
        <w:t xml:space="preserve"> 142 estudiantes. Los resultados mostraron que </w:t>
      </w:r>
      <w:r w:rsidR="00731073">
        <w:rPr>
          <w:i/>
          <w:szCs w:val="20"/>
        </w:rPr>
        <w:t xml:space="preserve">hombres y quienes estudian en Colombia </w:t>
      </w:r>
      <w:r w:rsidR="00646E50" w:rsidRPr="00250918">
        <w:rPr>
          <w:i/>
          <w:szCs w:val="20"/>
        </w:rPr>
        <w:t xml:space="preserve">perciben mayor impacto en la empleabilidad </w:t>
      </w:r>
      <w:r>
        <w:rPr>
          <w:i/>
          <w:szCs w:val="20"/>
        </w:rPr>
        <w:t xml:space="preserve">de </w:t>
      </w:r>
      <w:r w:rsidR="00646E50" w:rsidRPr="00250918">
        <w:rPr>
          <w:i/>
          <w:szCs w:val="20"/>
        </w:rPr>
        <w:t xml:space="preserve">la competencia digital, </w:t>
      </w:r>
      <w:r w:rsidR="00731073">
        <w:rPr>
          <w:i/>
          <w:szCs w:val="20"/>
        </w:rPr>
        <w:t xml:space="preserve">mientras que mujeres y quienes estudian en México </w:t>
      </w:r>
      <w:r>
        <w:rPr>
          <w:i/>
          <w:szCs w:val="20"/>
        </w:rPr>
        <w:t xml:space="preserve">perciben </w:t>
      </w:r>
      <w:r w:rsidR="00731073">
        <w:rPr>
          <w:i/>
          <w:szCs w:val="20"/>
        </w:rPr>
        <w:t xml:space="preserve">a </w:t>
      </w:r>
      <w:r w:rsidR="00646E50" w:rsidRPr="00250918">
        <w:rPr>
          <w:i/>
          <w:szCs w:val="20"/>
        </w:rPr>
        <w:t xml:space="preserve">la competencia personal, social y de aprender a aprender. </w:t>
      </w:r>
      <w:r w:rsidR="00A73FAB">
        <w:rPr>
          <w:i/>
          <w:szCs w:val="20"/>
        </w:rPr>
        <w:t>L</w:t>
      </w:r>
      <w:r w:rsidR="002A365E" w:rsidRPr="002A365E">
        <w:rPr>
          <w:i/>
          <w:szCs w:val="20"/>
        </w:rPr>
        <w:t>as IES necesitan</w:t>
      </w:r>
      <w:r w:rsidR="00BE159B">
        <w:rPr>
          <w:i/>
          <w:szCs w:val="20"/>
        </w:rPr>
        <w:t xml:space="preserve"> mejorar </w:t>
      </w:r>
      <w:r w:rsidR="002A365E" w:rsidRPr="002A365E">
        <w:rPr>
          <w:i/>
          <w:szCs w:val="20"/>
        </w:rPr>
        <w:t xml:space="preserve">su </w:t>
      </w:r>
      <w:r w:rsidR="00BE159B">
        <w:rPr>
          <w:i/>
          <w:szCs w:val="20"/>
        </w:rPr>
        <w:t>actuar</w:t>
      </w:r>
      <w:r w:rsidR="002A365E" w:rsidRPr="002A365E">
        <w:rPr>
          <w:i/>
          <w:szCs w:val="20"/>
        </w:rPr>
        <w:t xml:space="preserve">, </w:t>
      </w:r>
      <w:r w:rsidR="00BE159B">
        <w:rPr>
          <w:i/>
          <w:szCs w:val="20"/>
        </w:rPr>
        <w:t xml:space="preserve">integrando tecnologías, </w:t>
      </w:r>
      <w:r w:rsidR="002A365E" w:rsidRPr="002A365E">
        <w:rPr>
          <w:i/>
          <w:szCs w:val="20"/>
        </w:rPr>
        <w:t>a</w:t>
      </w:r>
      <w:r w:rsidR="00BE159B">
        <w:rPr>
          <w:i/>
          <w:szCs w:val="20"/>
        </w:rPr>
        <w:t xml:space="preserve">ctualizando </w:t>
      </w:r>
      <w:r w:rsidR="002A365E" w:rsidRPr="002A365E">
        <w:rPr>
          <w:i/>
          <w:szCs w:val="20"/>
        </w:rPr>
        <w:t>la formación docente</w:t>
      </w:r>
      <w:r w:rsidR="00BE159B">
        <w:rPr>
          <w:i/>
          <w:szCs w:val="20"/>
        </w:rPr>
        <w:t>, creando</w:t>
      </w:r>
      <w:r w:rsidR="002A365E" w:rsidRPr="002A365E">
        <w:rPr>
          <w:i/>
          <w:szCs w:val="20"/>
        </w:rPr>
        <w:t xml:space="preserve"> espacios que faciliten la creatividad e innovación </w:t>
      </w:r>
      <w:r>
        <w:rPr>
          <w:i/>
          <w:szCs w:val="20"/>
        </w:rPr>
        <w:t>con</w:t>
      </w:r>
      <w:r w:rsidR="002A365E" w:rsidRPr="002A365E">
        <w:rPr>
          <w:i/>
          <w:szCs w:val="20"/>
        </w:rPr>
        <w:t xml:space="preserve"> proyectos de investigación</w:t>
      </w:r>
      <w:r>
        <w:rPr>
          <w:i/>
          <w:szCs w:val="20"/>
        </w:rPr>
        <w:t>, dando</w:t>
      </w:r>
      <w:r w:rsidR="002A365E" w:rsidRPr="002A365E">
        <w:rPr>
          <w:i/>
          <w:szCs w:val="20"/>
        </w:rPr>
        <w:t xml:space="preserve"> respuesta a necesidades sociales, culturales y laborales.</w:t>
      </w:r>
    </w:p>
    <w:p w14:paraId="1DA46BCC" w14:textId="2EEEBDB3" w:rsidR="00E92483" w:rsidRPr="00F21071" w:rsidRDefault="00E92483" w:rsidP="000E6382">
      <w:pPr>
        <w:jc w:val="both"/>
        <w:rPr>
          <w:i/>
          <w:szCs w:val="20"/>
        </w:rPr>
      </w:pPr>
      <w:r w:rsidRPr="00F21071">
        <w:rPr>
          <w:i/>
          <w:szCs w:val="20"/>
        </w:rPr>
        <w:t xml:space="preserve"> </w:t>
      </w:r>
    </w:p>
    <w:p w14:paraId="33FF1F4E" w14:textId="50469487" w:rsidR="00360D01" w:rsidRPr="00F21071" w:rsidRDefault="00E20E7A" w:rsidP="000E6382">
      <w:pPr>
        <w:spacing w:line="360" w:lineRule="auto"/>
        <w:rPr>
          <w:szCs w:val="20"/>
        </w:rPr>
      </w:pPr>
      <w:r w:rsidRPr="00F21071">
        <w:rPr>
          <w:b/>
          <w:i/>
          <w:szCs w:val="20"/>
        </w:rPr>
        <w:t>Palabras clave:</w:t>
      </w:r>
      <w:r w:rsidRPr="00F21071">
        <w:rPr>
          <w:i/>
          <w:szCs w:val="20"/>
        </w:rPr>
        <w:t xml:space="preserve"> </w:t>
      </w:r>
      <w:r w:rsidR="00646E50" w:rsidRPr="00646E50">
        <w:rPr>
          <w:i/>
          <w:szCs w:val="20"/>
        </w:rPr>
        <w:t>aprendizaje permanente, empleabilidad, estudiantes</w:t>
      </w:r>
      <w:r w:rsidR="00D45A7F">
        <w:rPr>
          <w:i/>
          <w:szCs w:val="20"/>
        </w:rPr>
        <w:t xml:space="preserve"> universitarios</w:t>
      </w:r>
      <w:r w:rsidRPr="00F21071">
        <w:rPr>
          <w:i/>
          <w:szCs w:val="20"/>
        </w:rPr>
        <w:t xml:space="preserve">. </w:t>
      </w:r>
    </w:p>
    <w:p w14:paraId="37116036" w14:textId="77777777" w:rsidR="00F52788" w:rsidRDefault="00F52788" w:rsidP="000E6382">
      <w:pPr>
        <w:spacing w:line="360" w:lineRule="auto"/>
        <w:rPr>
          <w:rFonts w:ascii="Arial" w:hAnsi="Arial" w:cs="Arial"/>
          <w:color w:val="244061"/>
          <w:sz w:val="20"/>
          <w:szCs w:val="20"/>
        </w:rPr>
      </w:pPr>
    </w:p>
    <w:p w14:paraId="653ECDEF" w14:textId="77777777" w:rsidR="00D35C7F" w:rsidRPr="009324E7" w:rsidRDefault="00360D01" w:rsidP="000E6382">
      <w:pPr>
        <w:spacing w:line="360" w:lineRule="auto"/>
        <w:rPr>
          <w:b/>
          <w:color w:val="244061"/>
          <w:sz w:val="28"/>
        </w:rPr>
      </w:pPr>
      <w:r w:rsidRPr="009324E7">
        <w:rPr>
          <w:b/>
          <w:color w:val="244061"/>
          <w:sz w:val="28"/>
        </w:rPr>
        <w:t>1. Introducción</w:t>
      </w:r>
    </w:p>
    <w:p w14:paraId="78631EA8" w14:textId="2315CB30" w:rsidR="003424A2" w:rsidRDefault="003424A2" w:rsidP="000E6382">
      <w:pPr>
        <w:spacing w:line="360" w:lineRule="auto"/>
        <w:jc w:val="both"/>
        <w:rPr>
          <w:lang w:val="es-MX"/>
        </w:rPr>
      </w:pPr>
      <w:r>
        <w:rPr>
          <w:lang w:val="es-MX"/>
        </w:rPr>
        <w:t>El cambio organizacional en tiempos de incertidumbre requiere de personas preparadas y actualizadas para desarrollar adecuadamente las tareas asignadas en la empresa, por tant</w:t>
      </w:r>
      <w:r w:rsidR="00CC4E2F">
        <w:rPr>
          <w:lang w:val="es-MX"/>
        </w:rPr>
        <w:t>o, es notorio el interés de l</w:t>
      </w:r>
      <w:r>
        <w:rPr>
          <w:lang w:val="es-MX"/>
        </w:rPr>
        <w:t xml:space="preserve">os gerentes por crear espacios para capacitar al personal de su organización y mantenerse competitivos en esta economía global </w:t>
      </w:r>
      <w:r w:rsidR="00EB2A66">
        <w:rPr>
          <w:lang w:val="es-MX"/>
        </w:rPr>
        <w:t>(Díaz</w:t>
      </w:r>
      <w:r w:rsidR="007641E0">
        <w:rPr>
          <w:lang w:val="es-MX"/>
        </w:rPr>
        <w:t xml:space="preserve"> Vargas</w:t>
      </w:r>
      <w:r w:rsidR="00EB2A66">
        <w:rPr>
          <w:lang w:val="es-MX"/>
        </w:rPr>
        <w:t>, 2020</w:t>
      </w:r>
      <w:r w:rsidR="00CC4E2F">
        <w:rPr>
          <w:lang w:val="es-MX"/>
        </w:rPr>
        <w:t>)</w:t>
      </w:r>
      <w:r w:rsidR="009B1EB4">
        <w:rPr>
          <w:lang w:val="es-MX"/>
        </w:rPr>
        <w:t>.</w:t>
      </w:r>
    </w:p>
    <w:p w14:paraId="59F019E7" w14:textId="77777777" w:rsidR="003424A2" w:rsidRDefault="003424A2" w:rsidP="000E6382">
      <w:pPr>
        <w:spacing w:line="360" w:lineRule="auto"/>
        <w:jc w:val="both"/>
        <w:rPr>
          <w:lang w:val="es-MX" w:eastAsia="en-US"/>
        </w:rPr>
      </w:pPr>
    </w:p>
    <w:p w14:paraId="0D9C1C61" w14:textId="3B769232" w:rsidR="003424A2" w:rsidRDefault="003424A2" w:rsidP="000E6382">
      <w:pPr>
        <w:spacing w:line="360" w:lineRule="auto"/>
        <w:jc w:val="both"/>
        <w:rPr>
          <w:lang w:val="es-MX"/>
        </w:rPr>
      </w:pPr>
      <w:r>
        <w:rPr>
          <w:lang w:val="es-MX"/>
        </w:rPr>
        <w:t xml:space="preserve">Es así,  como la formación en competencias ha sido en estas dos últimas décadas una de las prioridades de los estudiantes universitarios, dada la exigencia laboral que es cada vez más compleja; acceder a un buen trabajo no es fácil sino se está bien preparado, los empleadores requieren de personas altamente calificadas para cargos con mayor </w:t>
      </w:r>
      <w:r>
        <w:rPr>
          <w:lang w:val="es-MX"/>
        </w:rPr>
        <w:lastRenderedPageBreak/>
        <w:t>conocimiento en tecnología y dominio de un segundo o tercer idioma, de tal manera, que la empleabilidad se ha convertido en una de las prioridades de las Instituciones de Educación Superior (IES).</w:t>
      </w:r>
    </w:p>
    <w:p w14:paraId="34591E67" w14:textId="77777777" w:rsidR="003424A2" w:rsidRDefault="003424A2" w:rsidP="000E6382">
      <w:pPr>
        <w:spacing w:line="360" w:lineRule="auto"/>
        <w:jc w:val="both"/>
        <w:rPr>
          <w:lang w:val="es-MX"/>
        </w:rPr>
      </w:pPr>
    </w:p>
    <w:p w14:paraId="38F966C4" w14:textId="77777777" w:rsidR="003424A2" w:rsidRDefault="003424A2" w:rsidP="000E6382">
      <w:pPr>
        <w:spacing w:line="360" w:lineRule="auto"/>
        <w:jc w:val="both"/>
        <w:rPr>
          <w:lang w:val="es-MX"/>
        </w:rPr>
      </w:pPr>
      <w:r>
        <w:rPr>
          <w:lang w:val="es-MX"/>
        </w:rPr>
        <w:t xml:space="preserve">Si bien existen diferentes propuestas de competencias, en la presente investigación se consideran competencias clave para el aprendizaje permanente aquellas que todas las personas precisan para su realización y desarrollo personales, su empleabilidad, integración social, estilo de vida sostenible, éxito en la vida en sociedades pacíficas, modo de vida saludable y ciudadanía activa (Consejo de la Unión Europea, 2018). </w:t>
      </w:r>
    </w:p>
    <w:p w14:paraId="6B1E8D81" w14:textId="77777777" w:rsidR="003424A2" w:rsidRDefault="003424A2" w:rsidP="000E6382">
      <w:pPr>
        <w:spacing w:line="360" w:lineRule="auto"/>
        <w:jc w:val="both"/>
        <w:rPr>
          <w:lang w:val="es-MX"/>
        </w:rPr>
      </w:pPr>
    </w:p>
    <w:p w14:paraId="52E84984" w14:textId="580B3675" w:rsidR="003424A2" w:rsidRDefault="003424A2" w:rsidP="000E6382">
      <w:pPr>
        <w:spacing w:line="360" w:lineRule="auto"/>
        <w:jc w:val="both"/>
        <w:rPr>
          <w:lang w:val="es-MX"/>
        </w:rPr>
      </w:pPr>
      <w:r>
        <w:rPr>
          <w:lang w:val="es-MX"/>
        </w:rPr>
        <w:t>Ante este panorama laboral, se considera importante conocer la percepción de competencias para la empleabilidad desde la perspectiva de género, donde se pretende identificar que competencias reconocen como de mayor impacto, además se quiere hacer una comparación entre países latinoamericanos (México y Colombia) de donde proviene la muestra del estudio. Los resultados de esta investigación brindar</w:t>
      </w:r>
      <w:r w:rsidR="00CC4E2F">
        <w:rPr>
          <w:lang w:val="es-MX"/>
        </w:rPr>
        <w:t>á</w:t>
      </w:r>
      <w:r>
        <w:rPr>
          <w:lang w:val="es-MX"/>
        </w:rPr>
        <w:t>n información significativa para el diseño de estrategias de fortalecimiento de las competencias.</w:t>
      </w:r>
    </w:p>
    <w:p w14:paraId="2CE9F61E" w14:textId="77777777" w:rsidR="00646E50" w:rsidRPr="009324E7" w:rsidRDefault="00646E50" w:rsidP="000E6382">
      <w:pPr>
        <w:spacing w:line="360" w:lineRule="auto"/>
        <w:rPr>
          <w:b/>
          <w:szCs w:val="20"/>
        </w:rPr>
      </w:pPr>
    </w:p>
    <w:p w14:paraId="1D52686C" w14:textId="7C97B07B" w:rsidR="005C1920" w:rsidRPr="00B60952" w:rsidRDefault="009818A0" w:rsidP="000E6382">
      <w:pPr>
        <w:spacing w:line="360" w:lineRule="auto"/>
        <w:rPr>
          <w:b/>
          <w:color w:val="244061"/>
          <w:sz w:val="28"/>
        </w:rPr>
      </w:pPr>
      <w:r w:rsidRPr="00B60952">
        <w:rPr>
          <w:b/>
          <w:color w:val="244061"/>
          <w:sz w:val="28"/>
        </w:rPr>
        <w:t>2</w:t>
      </w:r>
      <w:r w:rsidR="005C1920" w:rsidRPr="00B60952">
        <w:rPr>
          <w:b/>
          <w:color w:val="244061"/>
          <w:sz w:val="28"/>
        </w:rPr>
        <w:t>. Marco Teórico</w:t>
      </w:r>
    </w:p>
    <w:p w14:paraId="0A8FA272" w14:textId="77777777" w:rsidR="00646E50" w:rsidRPr="00740E87" w:rsidRDefault="00646E50" w:rsidP="000E6382">
      <w:pPr>
        <w:spacing w:line="360" w:lineRule="auto"/>
        <w:jc w:val="both"/>
        <w:rPr>
          <w:b/>
          <w:bCs/>
          <w:szCs w:val="20"/>
        </w:rPr>
      </w:pPr>
      <w:r w:rsidRPr="00740E87">
        <w:rPr>
          <w:b/>
          <w:bCs/>
          <w:szCs w:val="20"/>
        </w:rPr>
        <w:t xml:space="preserve">Percepción </w:t>
      </w:r>
    </w:p>
    <w:p w14:paraId="4357988D" w14:textId="6D6CDE08" w:rsidR="00646E50" w:rsidRPr="00740E87" w:rsidRDefault="00740E87" w:rsidP="000E6382">
      <w:pPr>
        <w:spacing w:line="360" w:lineRule="auto"/>
        <w:jc w:val="both"/>
        <w:rPr>
          <w:szCs w:val="20"/>
        </w:rPr>
      </w:pPr>
      <w:r w:rsidRPr="00740E87">
        <w:rPr>
          <w:szCs w:val="20"/>
        </w:rPr>
        <w:t xml:space="preserve">La percepción puede ser muy diferente de la realidad objetiva. </w:t>
      </w:r>
      <w:r w:rsidR="00646E50" w:rsidRPr="00740E87">
        <w:rPr>
          <w:szCs w:val="20"/>
        </w:rPr>
        <w:t xml:space="preserve">Robbins (2013, p. 204) define la percepción como el proceso mediante el cual los individuos organizan e interpretan los factores que influyen las impresiones de sus sentidos, con la finalidad de dar significado a su entorno. </w:t>
      </w:r>
    </w:p>
    <w:p w14:paraId="1284285A" w14:textId="5696ACAC" w:rsidR="00646E50" w:rsidRDefault="00646E50" w:rsidP="000E6382">
      <w:pPr>
        <w:spacing w:line="360" w:lineRule="auto"/>
        <w:jc w:val="both"/>
        <w:rPr>
          <w:szCs w:val="20"/>
        </w:rPr>
      </w:pPr>
      <w:r w:rsidRPr="00740E87">
        <w:rPr>
          <w:szCs w:val="20"/>
        </w:rPr>
        <w:t>L</w:t>
      </w:r>
      <w:r w:rsidR="00740E87" w:rsidRPr="00740E87">
        <w:rPr>
          <w:szCs w:val="20"/>
        </w:rPr>
        <w:t xml:space="preserve">a percepción </w:t>
      </w:r>
      <w:r w:rsidRPr="00740E87">
        <w:rPr>
          <w:szCs w:val="20"/>
        </w:rPr>
        <w:t>influye en la manera en que los individuos toman decisiones en su vida y la calidad de sus elecciones finales están influidas en mucho por sus percepciones. Según Braidot (201</w:t>
      </w:r>
      <w:r w:rsidR="00EB2A66">
        <w:rPr>
          <w:szCs w:val="20"/>
        </w:rPr>
        <w:t>6</w:t>
      </w:r>
      <w:r w:rsidRPr="00740E87">
        <w:rPr>
          <w:szCs w:val="20"/>
        </w:rPr>
        <w:t xml:space="preserve">, p. 110) “Percibir significa integrar los estímulos sensoriales que recibimos a través de los órganos de los sentidos para dotar de un conjunto de significados a los diferentes aspectos de la realidad”; los estados de ánimo pueden influir la forma en que </w:t>
      </w:r>
      <w:r w:rsidR="00740E87">
        <w:rPr>
          <w:szCs w:val="20"/>
        </w:rPr>
        <w:t xml:space="preserve">se </w:t>
      </w:r>
      <w:r w:rsidRPr="00740E87">
        <w:rPr>
          <w:szCs w:val="20"/>
        </w:rPr>
        <w:t>percib</w:t>
      </w:r>
      <w:r w:rsidR="00740E87">
        <w:rPr>
          <w:szCs w:val="20"/>
        </w:rPr>
        <w:t>e</w:t>
      </w:r>
      <w:r w:rsidRPr="00740E87">
        <w:rPr>
          <w:szCs w:val="20"/>
        </w:rPr>
        <w:t xml:space="preserve"> la vida y la toma de decisiones.</w:t>
      </w:r>
    </w:p>
    <w:p w14:paraId="29A22E55" w14:textId="77777777" w:rsidR="001E3DE6" w:rsidRPr="00740E87" w:rsidRDefault="001E3DE6" w:rsidP="000E6382">
      <w:pPr>
        <w:spacing w:line="360" w:lineRule="auto"/>
        <w:jc w:val="both"/>
        <w:rPr>
          <w:szCs w:val="20"/>
        </w:rPr>
      </w:pPr>
    </w:p>
    <w:p w14:paraId="730CB0FA" w14:textId="208B23E7" w:rsidR="00646E50" w:rsidRPr="00740E87" w:rsidRDefault="00740E87" w:rsidP="000E6382">
      <w:pPr>
        <w:spacing w:line="360" w:lineRule="auto"/>
        <w:jc w:val="both"/>
        <w:rPr>
          <w:szCs w:val="20"/>
        </w:rPr>
      </w:pPr>
      <w:r>
        <w:rPr>
          <w:szCs w:val="20"/>
        </w:rPr>
        <w:lastRenderedPageBreak/>
        <w:t>L</w:t>
      </w:r>
      <w:r w:rsidR="00646E50" w:rsidRPr="00740E87">
        <w:rPr>
          <w:szCs w:val="20"/>
        </w:rPr>
        <w:t xml:space="preserve">o percibido </w:t>
      </w:r>
      <w:r w:rsidR="00C97FBD" w:rsidRPr="00740E87">
        <w:rPr>
          <w:szCs w:val="20"/>
        </w:rPr>
        <w:t>está</w:t>
      </w:r>
      <w:r w:rsidR="00646E50" w:rsidRPr="00740E87">
        <w:rPr>
          <w:szCs w:val="20"/>
        </w:rPr>
        <w:t xml:space="preserve"> influenciado por tres factores: </w:t>
      </w:r>
    </w:p>
    <w:p w14:paraId="48EE4E12" w14:textId="698F4100" w:rsidR="00646E50" w:rsidRPr="00740E87" w:rsidRDefault="00646E50" w:rsidP="000E6382">
      <w:pPr>
        <w:tabs>
          <w:tab w:val="left" w:pos="1134"/>
        </w:tabs>
        <w:spacing w:line="360" w:lineRule="auto"/>
        <w:ind w:left="708"/>
        <w:jc w:val="both"/>
        <w:rPr>
          <w:szCs w:val="20"/>
        </w:rPr>
      </w:pPr>
      <w:r w:rsidRPr="00740E87">
        <w:rPr>
          <w:szCs w:val="20"/>
        </w:rPr>
        <w:t>•</w:t>
      </w:r>
      <w:r w:rsidRPr="00740E87">
        <w:rPr>
          <w:szCs w:val="20"/>
        </w:rPr>
        <w:tab/>
        <w:t>Factores en el receptor</w:t>
      </w:r>
      <w:r w:rsidR="00C97FBD" w:rsidRPr="00740E87">
        <w:rPr>
          <w:szCs w:val="20"/>
        </w:rPr>
        <w:t>: actitudes</w:t>
      </w:r>
      <w:r w:rsidRPr="00740E87">
        <w:rPr>
          <w:szCs w:val="20"/>
        </w:rPr>
        <w:t xml:space="preserve">, motivos, intereses, experiencia y expectativas. </w:t>
      </w:r>
    </w:p>
    <w:p w14:paraId="7935EE10" w14:textId="77777777" w:rsidR="00646E50" w:rsidRPr="00740E87" w:rsidRDefault="00646E50" w:rsidP="000E6382">
      <w:pPr>
        <w:tabs>
          <w:tab w:val="left" w:pos="1134"/>
        </w:tabs>
        <w:spacing w:line="360" w:lineRule="auto"/>
        <w:ind w:left="708"/>
        <w:jc w:val="both"/>
        <w:rPr>
          <w:szCs w:val="20"/>
        </w:rPr>
      </w:pPr>
      <w:r w:rsidRPr="00740E87">
        <w:rPr>
          <w:szCs w:val="20"/>
        </w:rPr>
        <w:t>•</w:t>
      </w:r>
      <w:r w:rsidRPr="00740E87">
        <w:rPr>
          <w:szCs w:val="20"/>
        </w:rPr>
        <w:tab/>
        <w:t xml:space="preserve">Factores en la situación: tiempo, ambiente laboral y escenario social. </w:t>
      </w:r>
    </w:p>
    <w:p w14:paraId="24FAE0BD" w14:textId="77777777" w:rsidR="00646E50" w:rsidRPr="00740E87" w:rsidRDefault="00646E50" w:rsidP="000E6382">
      <w:pPr>
        <w:tabs>
          <w:tab w:val="left" w:pos="1134"/>
        </w:tabs>
        <w:spacing w:line="360" w:lineRule="auto"/>
        <w:ind w:left="708"/>
        <w:jc w:val="both"/>
        <w:rPr>
          <w:szCs w:val="20"/>
        </w:rPr>
      </w:pPr>
      <w:r w:rsidRPr="00740E87">
        <w:rPr>
          <w:szCs w:val="20"/>
        </w:rPr>
        <w:t>•</w:t>
      </w:r>
      <w:r w:rsidRPr="00740E87">
        <w:rPr>
          <w:szCs w:val="20"/>
        </w:rPr>
        <w:tab/>
        <w:t xml:space="preserve">Factores en el objeto: novedad, movimiento, sonidos, tamaño, entorno, proximidad y similitud. </w:t>
      </w:r>
    </w:p>
    <w:p w14:paraId="478C6F21" w14:textId="63383275" w:rsidR="00646E50" w:rsidRPr="00740E87" w:rsidRDefault="00740E87" w:rsidP="000E6382">
      <w:pPr>
        <w:spacing w:line="360" w:lineRule="auto"/>
        <w:jc w:val="both"/>
        <w:rPr>
          <w:szCs w:val="20"/>
        </w:rPr>
      </w:pPr>
      <w:r>
        <w:rPr>
          <w:szCs w:val="20"/>
        </w:rPr>
        <w:t>Es decir</w:t>
      </w:r>
      <w:r w:rsidR="00646E50" w:rsidRPr="00740E87">
        <w:rPr>
          <w:szCs w:val="20"/>
        </w:rPr>
        <w:t>, la percepción es un proceso complejo y determinado de manera intrínseca y extrínseca (Robbins y Judge, 2013, p. 205).</w:t>
      </w:r>
    </w:p>
    <w:p w14:paraId="1CB0A2E9" w14:textId="77777777" w:rsidR="00740E87" w:rsidRDefault="00740E87" w:rsidP="000E6382">
      <w:pPr>
        <w:spacing w:line="360" w:lineRule="auto"/>
        <w:jc w:val="both"/>
        <w:rPr>
          <w:szCs w:val="20"/>
        </w:rPr>
      </w:pPr>
    </w:p>
    <w:p w14:paraId="006E327A" w14:textId="24AE722E" w:rsidR="00740E87" w:rsidRPr="00740E87" w:rsidRDefault="00740E87" w:rsidP="000E6382">
      <w:pPr>
        <w:spacing w:line="360" w:lineRule="auto"/>
        <w:jc w:val="both"/>
        <w:rPr>
          <w:b/>
          <w:bCs/>
          <w:szCs w:val="20"/>
        </w:rPr>
      </w:pPr>
      <w:r>
        <w:rPr>
          <w:b/>
          <w:bCs/>
          <w:szCs w:val="20"/>
        </w:rPr>
        <w:t>Diferencias entre mujeres y hombres</w:t>
      </w:r>
    </w:p>
    <w:p w14:paraId="64BAD466" w14:textId="2A4E74C3" w:rsidR="00646E50" w:rsidRPr="00740E87" w:rsidRDefault="00646E50" w:rsidP="000E6382">
      <w:pPr>
        <w:spacing w:line="360" w:lineRule="auto"/>
        <w:jc w:val="both"/>
        <w:rPr>
          <w:szCs w:val="20"/>
        </w:rPr>
      </w:pPr>
      <w:r w:rsidRPr="00740E87">
        <w:rPr>
          <w:szCs w:val="20"/>
        </w:rPr>
        <w:t>Según Braidot,</w:t>
      </w:r>
      <w:r w:rsidR="00740E87">
        <w:rPr>
          <w:szCs w:val="20"/>
        </w:rPr>
        <w:t xml:space="preserve"> (2016)</w:t>
      </w:r>
      <w:r w:rsidRPr="00740E87">
        <w:rPr>
          <w:szCs w:val="20"/>
        </w:rPr>
        <w:t xml:space="preserve"> para determinar si existen diferencias significativas de género, la neurociencia ha corroborado que existen componentes neurobiológicos que diferencian el cerebro según el género y estas diferencias influyen en la percepción, en el estilo de pensamiento, en la forma de procesar la información (cognitiva y emocional), en la toma de decisiones y en la conducta. En la Tabla 1, se aprecian algunas de estas diferencias.</w:t>
      </w:r>
    </w:p>
    <w:p w14:paraId="08CCC4F2" w14:textId="77777777" w:rsidR="009B1EB4" w:rsidRPr="00740E87" w:rsidRDefault="009B1EB4" w:rsidP="009B1EB4">
      <w:pPr>
        <w:spacing w:line="360" w:lineRule="auto"/>
        <w:jc w:val="both"/>
        <w:rPr>
          <w:color w:val="000000" w:themeColor="text1"/>
        </w:rPr>
      </w:pPr>
      <w:r w:rsidRPr="00740E87">
        <w:rPr>
          <w:color w:val="000000" w:themeColor="text1"/>
        </w:rPr>
        <w:t xml:space="preserve">Es importante reconocer que la cultura juega un papel fundamental en los factores de crianza; estos influyen en la actitud de ambos géneros, dando la posibilidad de un comportamiento equitativo en su convivencia. Así mismo, es valiosa la oportunidad de acceder a la educación superior, la cual permite moldear el cerebro de ambos géneros, ocasionando trasformaciones comportamentales significativas a nivel cultural, familiar, social y laboral. </w:t>
      </w:r>
    </w:p>
    <w:p w14:paraId="32AC28B2" w14:textId="77777777" w:rsidR="009B1EB4" w:rsidRDefault="009B1EB4" w:rsidP="009B1EB4">
      <w:pPr>
        <w:spacing w:line="360" w:lineRule="auto"/>
        <w:ind w:firstLine="340"/>
        <w:jc w:val="both"/>
        <w:rPr>
          <w:b/>
          <w:color w:val="000000" w:themeColor="text1"/>
        </w:rPr>
      </w:pPr>
    </w:p>
    <w:p w14:paraId="6A3427F3" w14:textId="77777777" w:rsidR="009B1EB4" w:rsidRPr="00740E87" w:rsidRDefault="009B1EB4" w:rsidP="009B1EB4">
      <w:pPr>
        <w:spacing w:line="360" w:lineRule="auto"/>
        <w:jc w:val="both"/>
        <w:rPr>
          <w:b/>
          <w:color w:val="000000" w:themeColor="text1"/>
        </w:rPr>
      </w:pPr>
      <w:r w:rsidRPr="00740E87">
        <w:rPr>
          <w:b/>
          <w:color w:val="000000" w:themeColor="text1"/>
        </w:rPr>
        <w:t>Competencias y aprendizaje permanente</w:t>
      </w:r>
    </w:p>
    <w:p w14:paraId="7DA0D82B" w14:textId="4DD83A0F" w:rsidR="009B1EB4" w:rsidRDefault="009B1EB4" w:rsidP="001E3DE6">
      <w:pPr>
        <w:spacing w:line="360" w:lineRule="auto"/>
        <w:jc w:val="both"/>
        <w:rPr>
          <w:rFonts w:eastAsiaTheme="minorEastAsia"/>
          <w:b/>
          <w:bCs/>
          <w:color w:val="000000" w:themeColor="text1"/>
          <w:lang w:val="es-MX" w:eastAsia="es-MX"/>
        </w:rPr>
      </w:pPr>
      <w:r w:rsidRPr="00740E87">
        <w:rPr>
          <w:color w:val="000000" w:themeColor="text1"/>
        </w:rPr>
        <w:t xml:space="preserve">De acuerdo a Papadopoulos (2002), citado por la UNESCO el término Aprendizaje a lo Largo de Toda la Vida (ALTV) apareció mencionado en los 1960’s por tres organizaciones internacionales: UNESCO, OCDE y Consejo de Europa. Cada una de ellas con un concepto y desarrollo distinto: el Consejo de Europa adoptó el término educación permanente; la </w:t>
      </w:r>
      <w:r w:rsidR="00435DF5" w:rsidRPr="00435DF5">
        <w:rPr>
          <w:color w:val="000000" w:themeColor="text1"/>
        </w:rPr>
        <w:t xml:space="preserve">Organización para la Cooperación y el Desarrollo Económicos </w:t>
      </w:r>
      <w:r w:rsidR="00435DF5">
        <w:rPr>
          <w:color w:val="000000" w:themeColor="text1"/>
        </w:rPr>
        <w:t>(</w:t>
      </w:r>
      <w:r w:rsidRPr="00740E87">
        <w:rPr>
          <w:color w:val="000000" w:themeColor="text1"/>
        </w:rPr>
        <w:t>OCDE</w:t>
      </w:r>
      <w:r w:rsidR="00435DF5">
        <w:rPr>
          <w:color w:val="000000" w:themeColor="text1"/>
        </w:rPr>
        <w:t>)</w:t>
      </w:r>
      <w:r w:rsidRPr="00740E87">
        <w:rPr>
          <w:color w:val="000000" w:themeColor="text1"/>
        </w:rPr>
        <w:t xml:space="preserve"> el de educación recurrente, más adelante cambiado por ALTV; la UNESCO adoptó tanto ALTV como educación a lo largo de la vida (UNESCO, 2020 p.8).</w:t>
      </w:r>
      <w:r>
        <w:rPr>
          <w:b/>
          <w:bCs/>
          <w:color w:val="000000" w:themeColor="text1"/>
        </w:rPr>
        <w:br w:type="page"/>
      </w:r>
    </w:p>
    <w:p w14:paraId="0B9BF66B" w14:textId="48519A7F" w:rsidR="00646E50" w:rsidRPr="00740E87" w:rsidRDefault="00646E50" w:rsidP="000E6382">
      <w:pPr>
        <w:pStyle w:val="NormalWeb"/>
        <w:spacing w:before="0" w:beforeAutospacing="0" w:after="0" w:afterAutospacing="0" w:line="360" w:lineRule="auto"/>
        <w:jc w:val="both"/>
        <w:rPr>
          <w:b/>
          <w:bCs/>
          <w:color w:val="000000" w:themeColor="text1"/>
        </w:rPr>
      </w:pPr>
      <w:r w:rsidRPr="00740E87">
        <w:rPr>
          <w:b/>
          <w:bCs/>
          <w:color w:val="000000" w:themeColor="text1"/>
        </w:rPr>
        <w:lastRenderedPageBreak/>
        <w:t>Tabla 1</w:t>
      </w:r>
    </w:p>
    <w:p w14:paraId="794920A3" w14:textId="77777777" w:rsidR="00646E50" w:rsidRPr="00740E87" w:rsidRDefault="00646E50" w:rsidP="000E6382">
      <w:pPr>
        <w:pStyle w:val="NormalWeb"/>
        <w:spacing w:before="0" w:beforeAutospacing="0" w:after="0" w:afterAutospacing="0" w:line="360" w:lineRule="auto"/>
        <w:jc w:val="both"/>
        <w:rPr>
          <w:i/>
          <w:iCs/>
          <w:color w:val="000000" w:themeColor="text1"/>
        </w:rPr>
      </w:pPr>
      <w:r w:rsidRPr="00740E87">
        <w:rPr>
          <w:i/>
          <w:iCs/>
          <w:color w:val="000000" w:themeColor="text1"/>
        </w:rPr>
        <w:t>Diferencias en el cerebro entre hombre y mujer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3622"/>
        <w:gridCol w:w="2629"/>
      </w:tblGrid>
      <w:tr w:rsidR="00646E50" w:rsidRPr="00740E87" w14:paraId="67901F22" w14:textId="77777777" w:rsidTr="00990AFB">
        <w:trPr>
          <w:trHeight w:val="299"/>
        </w:trPr>
        <w:tc>
          <w:tcPr>
            <w:tcW w:w="2410" w:type="dxa"/>
            <w:tcBorders>
              <w:top w:val="single" w:sz="4" w:space="0" w:color="auto"/>
              <w:bottom w:val="single" w:sz="4" w:space="0" w:color="auto"/>
            </w:tcBorders>
          </w:tcPr>
          <w:p w14:paraId="05760F25" w14:textId="77777777" w:rsidR="00646E50" w:rsidRPr="00740E87" w:rsidRDefault="00646E50" w:rsidP="000E6382">
            <w:pPr>
              <w:pStyle w:val="NormalWeb"/>
              <w:spacing w:before="0" w:beforeAutospacing="0" w:after="0" w:afterAutospacing="0" w:line="360" w:lineRule="auto"/>
              <w:ind w:left="29" w:right="175"/>
              <w:jc w:val="center"/>
              <w:rPr>
                <w:b/>
                <w:bCs/>
                <w:color w:val="000000" w:themeColor="text1"/>
                <w:sz w:val="20"/>
                <w:szCs w:val="20"/>
              </w:rPr>
            </w:pPr>
            <w:r w:rsidRPr="00740E87">
              <w:rPr>
                <w:rFonts w:cs="Times New Roman"/>
                <w:b/>
                <w:bCs/>
                <w:color w:val="000000" w:themeColor="text1"/>
                <w:sz w:val="20"/>
                <w:szCs w:val="20"/>
              </w:rPr>
              <w:t xml:space="preserve">Tipo de Diferencias </w:t>
            </w:r>
          </w:p>
        </w:tc>
        <w:tc>
          <w:tcPr>
            <w:tcW w:w="3960" w:type="dxa"/>
            <w:tcBorders>
              <w:top w:val="single" w:sz="4" w:space="0" w:color="auto"/>
              <w:bottom w:val="single" w:sz="4" w:space="0" w:color="auto"/>
            </w:tcBorders>
          </w:tcPr>
          <w:p w14:paraId="1D2FB0B9" w14:textId="77777777" w:rsidR="00646E50" w:rsidRPr="00740E87" w:rsidRDefault="00646E50" w:rsidP="000E6382">
            <w:pPr>
              <w:pStyle w:val="NormalWeb"/>
              <w:spacing w:before="0" w:beforeAutospacing="0" w:after="0" w:afterAutospacing="0" w:line="360" w:lineRule="auto"/>
              <w:ind w:left="29" w:right="175"/>
              <w:jc w:val="center"/>
              <w:rPr>
                <w:rFonts w:cs="Times New Roman"/>
                <w:b/>
                <w:bCs/>
                <w:color w:val="000000" w:themeColor="text1"/>
                <w:sz w:val="20"/>
                <w:szCs w:val="20"/>
              </w:rPr>
            </w:pPr>
            <w:r w:rsidRPr="00740E87">
              <w:rPr>
                <w:rFonts w:cs="Times New Roman"/>
                <w:b/>
                <w:bCs/>
                <w:color w:val="000000" w:themeColor="text1"/>
                <w:sz w:val="20"/>
                <w:szCs w:val="20"/>
              </w:rPr>
              <w:t>Cerebro Femenino</w:t>
            </w:r>
          </w:p>
        </w:tc>
        <w:tc>
          <w:tcPr>
            <w:tcW w:w="2835" w:type="dxa"/>
            <w:tcBorders>
              <w:top w:val="single" w:sz="4" w:space="0" w:color="auto"/>
              <w:bottom w:val="single" w:sz="4" w:space="0" w:color="auto"/>
            </w:tcBorders>
          </w:tcPr>
          <w:p w14:paraId="499B581D" w14:textId="77777777" w:rsidR="00646E50" w:rsidRPr="00740E87" w:rsidRDefault="00646E50" w:rsidP="000E6382">
            <w:pPr>
              <w:pStyle w:val="NormalWeb"/>
              <w:spacing w:before="0" w:beforeAutospacing="0" w:after="0" w:afterAutospacing="0" w:line="360" w:lineRule="auto"/>
              <w:jc w:val="center"/>
              <w:rPr>
                <w:rFonts w:cs="Times New Roman"/>
                <w:b/>
                <w:bCs/>
                <w:color w:val="000000" w:themeColor="text1"/>
                <w:sz w:val="20"/>
                <w:szCs w:val="20"/>
              </w:rPr>
            </w:pPr>
            <w:r w:rsidRPr="00740E87">
              <w:rPr>
                <w:rFonts w:cs="Times New Roman"/>
                <w:b/>
                <w:bCs/>
                <w:color w:val="000000" w:themeColor="text1"/>
                <w:sz w:val="20"/>
                <w:szCs w:val="20"/>
              </w:rPr>
              <w:t>Cerebro Masculino</w:t>
            </w:r>
          </w:p>
        </w:tc>
      </w:tr>
      <w:tr w:rsidR="00646E50" w:rsidRPr="00740E87" w14:paraId="5E4C3BBA" w14:textId="77777777" w:rsidTr="00990AFB">
        <w:tc>
          <w:tcPr>
            <w:tcW w:w="2410" w:type="dxa"/>
            <w:tcBorders>
              <w:top w:val="single" w:sz="4" w:space="0" w:color="auto"/>
            </w:tcBorders>
          </w:tcPr>
          <w:p w14:paraId="1F0749F3" w14:textId="77777777" w:rsidR="00646E50" w:rsidRPr="00740E87" w:rsidRDefault="00646E50" w:rsidP="000E6382">
            <w:pPr>
              <w:pStyle w:val="NormalWeb"/>
              <w:spacing w:before="0" w:beforeAutospacing="0" w:after="0" w:afterAutospacing="0"/>
              <w:ind w:left="29" w:right="175"/>
              <w:rPr>
                <w:color w:val="000000" w:themeColor="text1"/>
                <w:sz w:val="18"/>
                <w:szCs w:val="18"/>
              </w:rPr>
            </w:pPr>
            <w:r w:rsidRPr="00740E87">
              <w:rPr>
                <w:rFonts w:cs="Times New Roman"/>
                <w:color w:val="000000" w:themeColor="text1"/>
                <w:sz w:val="18"/>
                <w:szCs w:val="18"/>
              </w:rPr>
              <w:t>Neurobiológicas: Sistema endocrino</w:t>
            </w:r>
          </w:p>
        </w:tc>
        <w:tc>
          <w:tcPr>
            <w:tcW w:w="3960" w:type="dxa"/>
            <w:tcBorders>
              <w:top w:val="single" w:sz="4" w:space="0" w:color="auto"/>
            </w:tcBorders>
          </w:tcPr>
          <w:p w14:paraId="75ACA6A5" w14:textId="77777777" w:rsidR="00646E50" w:rsidRPr="00740E87" w:rsidRDefault="00646E50" w:rsidP="000E6382">
            <w:pPr>
              <w:pStyle w:val="NormalWeb"/>
              <w:spacing w:before="0" w:beforeAutospacing="0" w:after="0" w:afterAutospacing="0"/>
              <w:ind w:left="29" w:right="175"/>
              <w:rPr>
                <w:rFonts w:cs="Times New Roman"/>
                <w:color w:val="000000" w:themeColor="text1"/>
                <w:sz w:val="18"/>
                <w:szCs w:val="18"/>
              </w:rPr>
            </w:pPr>
            <w:r w:rsidRPr="00740E87">
              <w:rPr>
                <w:rFonts w:cs="Times New Roman"/>
                <w:color w:val="000000" w:themeColor="text1"/>
                <w:sz w:val="18"/>
                <w:szCs w:val="18"/>
              </w:rPr>
              <w:t>Niveles bajos de testosterona permiten que sus células cerebrales desarrollen más conexiones en los centros de comunicación y en las áreas que procesan emociones, esto permite una predisposición para armonizar en los ambientes y en habilidades innatas de empatía.</w:t>
            </w:r>
          </w:p>
        </w:tc>
        <w:tc>
          <w:tcPr>
            <w:tcW w:w="2835" w:type="dxa"/>
            <w:tcBorders>
              <w:top w:val="single" w:sz="4" w:space="0" w:color="auto"/>
            </w:tcBorders>
          </w:tcPr>
          <w:p w14:paraId="7B82110F" w14:textId="445208A2" w:rsidR="00646E50" w:rsidRPr="00740E87" w:rsidRDefault="00646E50" w:rsidP="000E6382">
            <w:pPr>
              <w:pStyle w:val="NormalWeb"/>
              <w:spacing w:before="0" w:beforeAutospacing="0" w:after="0" w:afterAutospacing="0"/>
              <w:rPr>
                <w:rFonts w:cs="Times New Roman"/>
                <w:color w:val="000000" w:themeColor="text1"/>
                <w:sz w:val="18"/>
                <w:szCs w:val="18"/>
              </w:rPr>
            </w:pPr>
            <w:r w:rsidRPr="00740E87">
              <w:rPr>
                <w:rFonts w:cs="Times New Roman"/>
                <w:color w:val="000000" w:themeColor="text1"/>
                <w:sz w:val="18"/>
                <w:szCs w:val="18"/>
              </w:rPr>
              <w:t xml:space="preserve">Mayor nivel de testosterona influye en un mayor desarrollo del hemisferio derecho del que </w:t>
            </w:r>
            <w:r w:rsidR="00E96983" w:rsidRPr="00740E87">
              <w:rPr>
                <w:rFonts w:cs="Times New Roman"/>
                <w:color w:val="000000" w:themeColor="text1"/>
                <w:sz w:val="18"/>
                <w:szCs w:val="18"/>
              </w:rPr>
              <w:t>dependen</w:t>
            </w:r>
            <w:r w:rsidRPr="00740E87">
              <w:rPr>
                <w:rFonts w:cs="Times New Roman"/>
                <w:color w:val="000000" w:themeColor="text1"/>
                <w:sz w:val="18"/>
                <w:szCs w:val="18"/>
              </w:rPr>
              <w:t xml:space="preserve"> las habilidades visuoespaciales, aumenta la disposición para agredir.</w:t>
            </w:r>
          </w:p>
          <w:p w14:paraId="47D555E0" w14:textId="77777777" w:rsidR="00646E50" w:rsidRPr="00740E87" w:rsidRDefault="00646E50" w:rsidP="000E6382">
            <w:pPr>
              <w:pStyle w:val="NormalWeb"/>
              <w:spacing w:before="0" w:beforeAutospacing="0" w:after="0" w:afterAutospacing="0"/>
              <w:rPr>
                <w:rFonts w:cs="Times New Roman"/>
                <w:color w:val="000000" w:themeColor="text1"/>
                <w:sz w:val="18"/>
                <w:szCs w:val="18"/>
              </w:rPr>
            </w:pPr>
          </w:p>
        </w:tc>
      </w:tr>
      <w:tr w:rsidR="00646E50" w:rsidRPr="00740E87" w14:paraId="0ABECBD7" w14:textId="77777777" w:rsidTr="00990AFB">
        <w:tc>
          <w:tcPr>
            <w:tcW w:w="2410" w:type="dxa"/>
          </w:tcPr>
          <w:p w14:paraId="2D9C481B" w14:textId="77777777" w:rsidR="00646E50" w:rsidRPr="00740E87" w:rsidRDefault="00646E50" w:rsidP="000E6382">
            <w:pPr>
              <w:pStyle w:val="NormalWeb"/>
              <w:spacing w:before="0" w:beforeAutospacing="0" w:after="0" w:afterAutospacing="0"/>
              <w:ind w:left="177"/>
              <w:rPr>
                <w:rFonts w:cs="Times New Roman"/>
                <w:color w:val="000000" w:themeColor="text1"/>
                <w:sz w:val="18"/>
                <w:szCs w:val="18"/>
              </w:rPr>
            </w:pPr>
          </w:p>
          <w:p w14:paraId="5F86FF1C" w14:textId="77777777" w:rsidR="00646E50" w:rsidRPr="00740E87" w:rsidRDefault="00646E50" w:rsidP="000E6382">
            <w:pPr>
              <w:pStyle w:val="NormalWeb"/>
              <w:spacing w:before="0" w:beforeAutospacing="0" w:after="0" w:afterAutospacing="0"/>
              <w:ind w:left="29" w:right="175"/>
              <w:rPr>
                <w:color w:val="000000" w:themeColor="text1"/>
                <w:sz w:val="18"/>
                <w:szCs w:val="18"/>
              </w:rPr>
            </w:pPr>
            <w:r w:rsidRPr="00740E87">
              <w:rPr>
                <w:rFonts w:cs="Times New Roman"/>
                <w:color w:val="000000" w:themeColor="text1"/>
                <w:sz w:val="18"/>
                <w:szCs w:val="18"/>
              </w:rPr>
              <w:t>Morfológicas: Cuerpo calloso, estructura neuronal que se encuentra en ambos hemisferios y permite la comunicación entre ellos.</w:t>
            </w:r>
          </w:p>
        </w:tc>
        <w:tc>
          <w:tcPr>
            <w:tcW w:w="3960" w:type="dxa"/>
          </w:tcPr>
          <w:p w14:paraId="58F5C411" w14:textId="77777777" w:rsidR="00646E50" w:rsidRPr="00740E87" w:rsidRDefault="00646E50" w:rsidP="000E6382">
            <w:pPr>
              <w:pStyle w:val="NormalWeb"/>
              <w:spacing w:before="0" w:beforeAutospacing="0" w:after="0" w:afterAutospacing="0"/>
              <w:ind w:left="29" w:right="175"/>
              <w:rPr>
                <w:rFonts w:cs="Times New Roman"/>
                <w:color w:val="000000" w:themeColor="text1"/>
                <w:sz w:val="18"/>
                <w:szCs w:val="18"/>
              </w:rPr>
            </w:pPr>
          </w:p>
          <w:p w14:paraId="676F936B" w14:textId="792404A4" w:rsidR="00646E50" w:rsidRPr="00740E87" w:rsidRDefault="00E96983" w:rsidP="000E6382">
            <w:pPr>
              <w:pStyle w:val="NormalWeb"/>
              <w:spacing w:before="0" w:beforeAutospacing="0" w:after="0" w:afterAutospacing="0"/>
              <w:ind w:left="29" w:right="175"/>
              <w:rPr>
                <w:rFonts w:cs="Times New Roman"/>
                <w:color w:val="000000" w:themeColor="text1"/>
                <w:sz w:val="18"/>
                <w:szCs w:val="18"/>
              </w:rPr>
            </w:pPr>
            <w:r w:rsidRPr="00740E87">
              <w:rPr>
                <w:rFonts w:cs="Times New Roman"/>
                <w:color w:val="000000" w:themeColor="text1"/>
                <w:sz w:val="18"/>
                <w:szCs w:val="18"/>
              </w:rPr>
              <w:t>Más</w:t>
            </w:r>
            <w:r w:rsidR="00646E50" w:rsidRPr="00740E87">
              <w:rPr>
                <w:rFonts w:cs="Times New Roman"/>
                <w:color w:val="000000" w:themeColor="text1"/>
                <w:sz w:val="18"/>
                <w:szCs w:val="18"/>
              </w:rPr>
              <w:t xml:space="preserve"> ancho y blancuzco, esto explica porque la mujer puede hacer varias cosas al mismo tiempo, integrar mejor los conocimientos, fundamenta más variadamente sus conclusiones y requiere mayor variedad de argumentos para ser convencida.</w:t>
            </w:r>
          </w:p>
        </w:tc>
        <w:tc>
          <w:tcPr>
            <w:tcW w:w="2835" w:type="dxa"/>
          </w:tcPr>
          <w:p w14:paraId="3E776882" w14:textId="77777777" w:rsidR="00646E50" w:rsidRPr="00740E87" w:rsidRDefault="00646E50" w:rsidP="000E6382">
            <w:pPr>
              <w:pStyle w:val="NormalWeb"/>
              <w:spacing w:before="0" w:beforeAutospacing="0" w:after="0" w:afterAutospacing="0"/>
              <w:rPr>
                <w:rFonts w:cs="Times New Roman"/>
                <w:color w:val="000000" w:themeColor="text1"/>
                <w:sz w:val="18"/>
                <w:szCs w:val="18"/>
              </w:rPr>
            </w:pPr>
          </w:p>
          <w:p w14:paraId="05F107A4" w14:textId="28B6C8D3" w:rsidR="00646E50" w:rsidRPr="00740E87" w:rsidRDefault="00E96983" w:rsidP="000E6382">
            <w:pPr>
              <w:pStyle w:val="NormalWeb"/>
              <w:spacing w:before="0" w:beforeAutospacing="0" w:after="0" w:afterAutospacing="0"/>
              <w:rPr>
                <w:rFonts w:cs="Times New Roman"/>
                <w:color w:val="000000" w:themeColor="text1"/>
                <w:sz w:val="18"/>
                <w:szCs w:val="18"/>
              </w:rPr>
            </w:pPr>
            <w:r w:rsidRPr="00740E87">
              <w:rPr>
                <w:rFonts w:cs="Times New Roman"/>
                <w:color w:val="000000" w:themeColor="text1"/>
                <w:sz w:val="18"/>
                <w:szCs w:val="18"/>
              </w:rPr>
              <w:t>Más</w:t>
            </w:r>
            <w:r w:rsidR="00646E50" w:rsidRPr="00740E87">
              <w:rPr>
                <w:rFonts w:cs="Times New Roman"/>
                <w:color w:val="000000" w:themeColor="text1"/>
                <w:sz w:val="18"/>
                <w:szCs w:val="18"/>
              </w:rPr>
              <w:t xml:space="preserve"> angosto y grisáceo, el hombre aborda la información en forma secuencial y necesita menos argumentos para decidirse.</w:t>
            </w:r>
          </w:p>
        </w:tc>
      </w:tr>
      <w:tr w:rsidR="00646E50" w:rsidRPr="00740E87" w14:paraId="0D54A9F1" w14:textId="77777777" w:rsidTr="00990AFB">
        <w:tc>
          <w:tcPr>
            <w:tcW w:w="2410" w:type="dxa"/>
          </w:tcPr>
          <w:p w14:paraId="549E9F7E" w14:textId="77777777" w:rsidR="00646E50" w:rsidRPr="00740E87" w:rsidRDefault="00646E50" w:rsidP="000E6382">
            <w:pPr>
              <w:pStyle w:val="NormalWeb"/>
              <w:spacing w:before="0" w:beforeAutospacing="0" w:after="0" w:afterAutospacing="0"/>
              <w:ind w:left="177"/>
              <w:rPr>
                <w:rFonts w:cs="Times New Roman"/>
                <w:color w:val="000000" w:themeColor="text1"/>
                <w:sz w:val="18"/>
                <w:szCs w:val="18"/>
              </w:rPr>
            </w:pPr>
          </w:p>
          <w:p w14:paraId="64597AF0" w14:textId="77777777" w:rsidR="00646E50" w:rsidRPr="00740E87" w:rsidRDefault="00646E50" w:rsidP="000E6382">
            <w:pPr>
              <w:pStyle w:val="NormalWeb"/>
              <w:spacing w:before="0" w:beforeAutospacing="0" w:after="0" w:afterAutospacing="0"/>
              <w:ind w:left="29" w:right="175"/>
              <w:rPr>
                <w:color w:val="000000" w:themeColor="text1"/>
                <w:sz w:val="18"/>
                <w:szCs w:val="18"/>
              </w:rPr>
            </w:pPr>
            <w:r w:rsidRPr="00740E87">
              <w:rPr>
                <w:rFonts w:cs="Times New Roman"/>
                <w:color w:val="000000" w:themeColor="text1"/>
                <w:sz w:val="18"/>
                <w:szCs w:val="18"/>
              </w:rPr>
              <w:t>Morfológicas: Amígdala cerebral</w:t>
            </w:r>
          </w:p>
        </w:tc>
        <w:tc>
          <w:tcPr>
            <w:tcW w:w="3960" w:type="dxa"/>
          </w:tcPr>
          <w:p w14:paraId="57CE450B" w14:textId="77777777" w:rsidR="00646E50" w:rsidRPr="00740E87" w:rsidRDefault="00646E50" w:rsidP="000E6382">
            <w:pPr>
              <w:pStyle w:val="NormalWeb"/>
              <w:spacing w:before="0" w:beforeAutospacing="0" w:after="0" w:afterAutospacing="0"/>
              <w:ind w:left="29" w:right="175"/>
              <w:rPr>
                <w:rFonts w:cs="Times New Roman"/>
                <w:color w:val="000000" w:themeColor="text1"/>
                <w:sz w:val="18"/>
                <w:szCs w:val="18"/>
              </w:rPr>
            </w:pPr>
          </w:p>
          <w:p w14:paraId="1F3B9A81" w14:textId="77777777" w:rsidR="00646E50" w:rsidRPr="00740E87" w:rsidRDefault="00646E50" w:rsidP="000E6382">
            <w:pPr>
              <w:pStyle w:val="NormalWeb"/>
              <w:spacing w:before="0" w:beforeAutospacing="0" w:after="0" w:afterAutospacing="0"/>
              <w:ind w:left="29" w:right="175"/>
              <w:rPr>
                <w:rFonts w:cs="Times New Roman"/>
                <w:color w:val="000000" w:themeColor="text1"/>
                <w:sz w:val="18"/>
                <w:szCs w:val="18"/>
              </w:rPr>
            </w:pPr>
            <w:r w:rsidRPr="00740E87">
              <w:rPr>
                <w:rFonts w:cs="Times New Roman"/>
                <w:color w:val="000000" w:themeColor="text1"/>
                <w:sz w:val="18"/>
                <w:szCs w:val="18"/>
              </w:rPr>
              <w:t>Frente a contenidos aversivos se activa la amígdala izquierda, lo que hace que el evento emotivo sea recordado.</w:t>
            </w:r>
          </w:p>
        </w:tc>
        <w:tc>
          <w:tcPr>
            <w:tcW w:w="2835" w:type="dxa"/>
          </w:tcPr>
          <w:p w14:paraId="4CA302BB" w14:textId="77777777" w:rsidR="00646E50" w:rsidRPr="00740E87" w:rsidRDefault="00646E50" w:rsidP="000E6382">
            <w:pPr>
              <w:pStyle w:val="NormalWeb"/>
              <w:spacing w:before="0" w:beforeAutospacing="0" w:after="0" w:afterAutospacing="0"/>
              <w:rPr>
                <w:rFonts w:cs="Times New Roman"/>
                <w:color w:val="000000" w:themeColor="text1"/>
                <w:sz w:val="18"/>
                <w:szCs w:val="18"/>
              </w:rPr>
            </w:pPr>
          </w:p>
          <w:p w14:paraId="24AC9ECB" w14:textId="77777777" w:rsidR="00646E50" w:rsidRPr="00740E87" w:rsidRDefault="00646E50" w:rsidP="000E6382">
            <w:pPr>
              <w:pStyle w:val="NormalWeb"/>
              <w:spacing w:before="0" w:beforeAutospacing="0" w:after="0" w:afterAutospacing="0"/>
              <w:rPr>
                <w:rFonts w:cs="Times New Roman"/>
                <w:color w:val="000000" w:themeColor="text1"/>
                <w:sz w:val="18"/>
                <w:szCs w:val="18"/>
              </w:rPr>
            </w:pPr>
            <w:r w:rsidRPr="00740E87">
              <w:rPr>
                <w:rFonts w:cs="Times New Roman"/>
                <w:color w:val="000000" w:themeColor="text1"/>
                <w:sz w:val="18"/>
                <w:szCs w:val="18"/>
              </w:rPr>
              <w:t>Frente a contenidos aversivos y neutrales se activa la amígdala derecha, la cual no está relacionada con la fijación del recuerdo.</w:t>
            </w:r>
          </w:p>
        </w:tc>
      </w:tr>
      <w:tr w:rsidR="00646E50" w:rsidRPr="00740E87" w14:paraId="5EC3184B" w14:textId="77777777" w:rsidTr="00990AFB">
        <w:tc>
          <w:tcPr>
            <w:tcW w:w="2410" w:type="dxa"/>
          </w:tcPr>
          <w:p w14:paraId="04082E03" w14:textId="77777777" w:rsidR="00646E50" w:rsidRPr="00740E87" w:rsidRDefault="00646E50" w:rsidP="000E6382">
            <w:pPr>
              <w:pStyle w:val="NormalWeb"/>
              <w:spacing w:before="0" w:beforeAutospacing="0" w:after="0" w:afterAutospacing="0"/>
              <w:ind w:left="177"/>
              <w:rPr>
                <w:rFonts w:cs="Times New Roman"/>
                <w:color w:val="000000" w:themeColor="text1"/>
                <w:sz w:val="18"/>
                <w:szCs w:val="18"/>
              </w:rPr>
            </w:pPr>
          </w:p>
          <w:p w14:paraId="48D9EA0D" w14:textId="77777777" w:rsidR="00646E50" w:rsidRPr="00740E87" w:rsidRDefault="00646E50" w:rsidP="000E6382">
            <w:pPr>
              <w:pStyle w:val="NormalWeb"/>
              <w:spacing w:before="0" w:beforeAutospacing="0" w:after="0" w:afterAutospacing="0"/>
              <w:ind w:left="29" w:right="175"/>
              <w:rPr>
                <w:rFonts w:cs="Times New Roman"/>
                <w:color w:val="000000" w:themeColor="text1"/>
                <w:sz w:val="18"/>
                <w:szCs w:val="18"/>
              </w:rPr>
            </w:pPr>
            <w:r w:rsidRPr="00740E87">
              <w:rPr>
                <w:rFonts w:cs="Times New Roman"/>
                <w:color w:val="000000" w:themeColor="text1"/>
                <w:sz w:val="18"/>
                <w:szCs w:val="18"/>
              </w:rPr>
              <w:t>Funcionales: Capacidad de memoria</w:t>
            </w:r>
          </w:p>
        </w:tc>
        <w:tc>
          <w:tcPr>
            <w:tcW w:w="3960" w:type="dxa"/>
          </w:tcPr>
          <w:p w14:paraId="6AF4E111" w14:textId="77777777" w:rsidR="00646E50" w:rsidRPr="00740E87" w:rsidRDefault="00646E50" w:rsidP="000E6382">
            <w:pPr>
              <w:pStyle w:val="NormalWeb"/>
              <w:spacing w:before="0" w:beforeAutospacing="0" w:after="0" w:afterAutospacing="0"/>
              <w:ind w:left="29" w:right="175"/>
              <w:rPr>
                <w:rFonts w:cs="Times New Roman"/>
                <w:color w:val="000000" w:themeColor="text1"/>
                <w:sz w:val="18"/>
                <w:szCs w:val="18"/>
              </w:rPr>
            </w:pPr>
          </w:p>
          <w:p w14:paraId="4F6B3C0A" w14:textId="77777777" w:rsidR="00646E50" w:rsidRPr="00740E87" w:rsidRDefault="00646E50" w:rsidP="000E6382">
            <w:pPr>
              <w:pStyle w:val="NormalWeb"/>
              <w:spacing w:before="0" w:beforeAutospacing="0" w:after="0" w:afterAutospacing="0"/>
              <w:ind w:left="29" w:right="175"/>
              <w:rPr>
                <w:rFonts w:cs="Times New Roman"/>
                <w:color w:val="000000" w:themeColor="text1"/>
                <w:sz w:val="18"/>
                <w:szCs w:val="18"/>
              </w:rPr>
            </w:pPr>
            <w:r w:rsidRPr="00740E87">
              <w:rPr>
                <w:rFonts w:cs="Times New Roman"/>
                <w:color w:val="000000" w:themeColor="text1"/>
                <w:sz w:val="18"/>
                <w:szCs w:val="18"/>
              </w:rPr>
              <w:t>La capacidad para memorizar es mayor principalmente en la fijación de recuerdos con contenido emocional.</w:t>
            </w:r>
          </w:p>
        </w:tc>
        <w:tc>
          <w:tcPr>
            <w:tcW w:w="2835" w:type="dxa"/>
          </w:tcPr>
          <w:p w14:paraId="5FEB3701" w14:textId="77777777" w:rsidR="00646E50" w:rsidRPr="00740E87" w:rsidRDefault="00646E50" w:rsidP="000E6382">
            <w:pPr>
              <w:pStyle w:val="NormalWeb"/>
              <w:spacing w:before="0" w:beforeAutospacing="0" w:after="0" w:afterAutospacing="0"/>
              <w:rPr>
                <w:rFonts w:cs="Times New Roman"/>
                <w:color w:val="000000" w:themeColor="text1"/>
                <w:sz w:val="18"/>
                <w:szCs w:val="18"/>
              </w:rPr>
            </w:pPr>
          </w:p>
          <w:p w14:paraId="5DAA065D" w14:textId="77777777" w:rsidR="00646E50" w:rsidRPr="00740E87" w:rsidRDefault="00646E50" w:rsidP="000E6382">
            <w:pPr>
              <w:pStyle w:val="NormalWeb"/>
              <w:spacing w:before="0" w:beforeAutospacing="0" w:after="0" w:afterAutospacing="0"/>
              <w:rPr>
                <w:rFonts w:cs="Times New Roman"/>
                <w:color w:val="000000" w:themeColor="text1"/>
                <w:sz w:val="18"/>
                <w:szCs w:val="18"/>
              </w:rPr>
            </w:pPr>
            <w:r w:rsidRPr="00740E87">
              <w:rPr>
                <w:rFonts w:cs="Times New Roman"/>
                <w:color w:val="000000" w:themeColor="text1"/>
                <w:sz w:val="18"/>
                <w:szCs w:val="18"/>
              </w:rPr>
              <w:t>Evoca recuerdos emocionales menos rápido y los fija con menor permanencia en el tiempo.</w:t>
            </w:r>
          </w:p>
        </w:tc>
      </w:tr>
      <w:tr w:rsidR="00646E50" w:rsidRPr="00740E87" w14:paraId="17AF1752" w14:textId="77777777" w:rsidTr="00990AFB">
        <w:tc>
          <w:tcPr>
            <w:tcW w:w="2410" w:type="dxa"/>
          </w:tcPr>
          <w:p w14:paraId="7D87CE68" w14:textId="77777777" w:rsidR="00646E50" w:rsidRPr="00740E87" w:rsidRDefault="00646E50" w:rsidP="000E6382">
            <w:pPr>
              <w:pStyle w:val="NormalWeb"/>
              <w:spacing w:before="0" w:beforeAutospacing="0" w:after="0" w:afterAutospacing="0"/>
              <w:ind w:left="177"/>
              <w:rPr>
                <w:rFonts w:cs="Times New Roman"/>
                <w:color w:val="000000" w:themeColor="text1"/>
                <w:sz w:val="18"/>
                <w:szCs w:val="18"/>
                <w:lang w:val="es-CO"/>
              </w:rPr>
            </w:pPr>
          </w:p>
          <w:p w14:paraId="5E0671D4" w14:textId="77777777" w:rsidR="00646E50" w:rsidRPr="00740E87" w:rsidRDefault="00646E50" w:rsidP="000E6382">
            <w:pPr>
              <w:pStyle w:val="NormalWeb"/>
              <w:spacing w:before="0" w:beforeAutospacing="0" w:after="0" w:afterAutospacing="0"/>
              <w:ind w:left="29" w:right="175"/>
              <w:rPr>
                <w:color w:val="000000" w:themeColor="text1"/>
                <w:sz w:val="18"/>
                <w:szCs w:val="18"/>
              </w:rPr>
            </w:pPr>
            <w:r w:rsidRPr="00740E87">
              <w:rPr>
                <w:rFonts w:cs="Times New Roman"/>
                <w:color w:val="000000" w:themeColor="text1"/>
                <w:sz w:val="18"/>
                <w:szCs w:val="18"/>
              </w:rPr>
              <w:t>Funcionales: Lenguaje</w:t>
            </w:r>
          </w:p>
        </w:tc>
        <w:tc>
          <w:tcPr>
            <w:tcW w:w="3960" w:type="dxa"/>
          </w:tcPr>
          <w:p w14:paraId="3849AA35" w14:textId="77777777" w:rsidR="00646E50" w:rsidRPr="00740E87" w:rsidRDefault="00646E50" w:rsidP="000E6382">
            <w:pPr>
              <w:pStyle w:val="NormalWeb"/>
              <w:spacing w:before="0" w:beforeAutospacing="0" w:after="0" w:afterAutospacing="0"/>
              <w:ind w:left="29" w:right="175"/>
              <w:rPr>
                <w:rFonts w:cs="Times New Roman"/>
                <w:color w:val="000000" w:themeColor="text1"/>
                <w:sz w:val="18"/>
                <w:szCs w:val="18"/>
              </w:rPr>
            </w:pPr>
          </w:p>
          <w:p w14:paraId="7D138512" w14:textId="77777777" w:rsidR="00646E50" w:rsidRPr="00740E87" w:rsidRDefault="00646E50" w:rsidP="000E6382">
            <w:pPr>
              <w:pStyle w:val="NormalWeb"/>
              <w:spacing w:before="0" w:beforeAutospacing="0" w:after="0" w:afterAutospacing="0"/>
              <w:ind w:left="29" w:right="175"/>
              <w:rPr>
                <w:rFonts w:cs="Times New Roman"/>
                <w:color w:val="000000" w:themeColor="text1"/>
                <w:sz w:val="18"/>
                <w:szCs w:val="18"/>
              </w:rPr>
            </w:pPr>
            <w:r w:rsidRPr="00740E87">
              <w:rPr>
                <w:rFonts w:cs="Times New Roman"/>
                <w:color w:val="000000" w:themeColor="text1"/>
                <w:sz w:val="18"/>
                <w:szCs w:val="18"/>
              </w:rPr>
              <w:t>Mayor desarrollo de las áreas del lenguaje, es entre 20 y 30% más grandes.</w:t>
            </w:r>
          </w:p>
        </w:tc>
        <w:tc>
          <w:tcPr>
            <w:tcW w:w="2835" w:type="dxa"/>
          </w:tcPr>
          <w:p w14:paraId="70E5113A" w14:textId="77777777" w:rsidR="00646E50" w:rsidRPr="00740E87" w:rsidRDefault="00646E50" w:rsidP="000E6382">
            <w:pPr>
              <w:pStyle w:val="NormalWeb"/>
              <w:spacing w:before="0" w:beforeAutospacing="0" w:after="0" w:afterAutospacing="0"/>
              <w:rPr>
                <w:rFonts w:cs="Times New Roman"/>
                <w:color w:val="000000" w:themeColor="text1"/>
                <w:sz w:val="18"/>
                <w:szCs w:val="18"/>
              </w:rPr>
            </w:pPr>
          </w:p>
          <w:p w14:paraId="1ED2CA7E" w14:textId="77777777" w:rsidR="00646E50" w:rsidRPr="00740E87" w:rsidRDefault="00646E50" w:rsidP="000E6382">
            <w:pPr>
              <w:pStyle w:val="NormalWeb"/>
              <w:spacing w:before="0" w:beforeAutospacing="0" w:after="0" w:afterAutospacing="0"/>
              <w:rPr>
                <w:rFonts w:cs="Times New Roman"/>
                <w:color w:val="000000" w:themeColor="text1"/>
                <w:sz w:val="18"/>
                <w:szCs w:val="18"/>
              </w:rPr>
            </w:pPr>
            <w:r w:rsidRPr="00740E87">
              <w:rPr>
                <w:rFonts w:cs="Times New Roman"/>
                <w:color w:val="000000" w:themeColor="text1"/>
                <w:sz w:val="18"/>
                <w:szCs w:val="18"/>
              </w:rPr>
              <w:t>Utiliza más el hemisferio derecho para leer.</w:t>
            </w:r>
          </w:p>
        </w:tc>
      </w:tr>
      <w:tr w:rsidR="00646E50" w:rsidRPr="00740E87" w14:paraId="6B2D8ACE" w14:textId="77777777" w:rsidTr="00990AFB">
        <w:tc>
          <w:tcPr>
            <w:tcW w:w="2410" w:type="dxa"/>
          </w:tcPr>
          <w:p w14:paraId="331E6C92" w14:textId="77777777" w:rsidR="00646E50" w:rsidRPr="00740E87" w:rsidRDefault="00646E50" w:rsidP="000E6382">
            <w:pPr>
              <w:pStyle w:val="NormalWeb"/>
              <w:spacing w:before="0" w:beforeAutospacing="0" w:after="0" w:afterAutospacing="0"/>
              <w:ind w:left="177"/>
              <w:rPr>
                <w:rFonts w:cs="Times New Roman"/>
                <w:color w:val="000000" w:themeColor="text1"/>
                <w:sz w:val="18"/>
                <w:szCs w:val="18"/>
              </w:rPr>
            </w:pPr>
          </w:p>
          <w:p w14:paraId="3137F754" w14:textId="77777777" w:rsidR="00646E50" w:rsidRPr="00740E87" w:rsidRDefault="00646E50" w:rsidP="000E6382">
            <w:pPr>
              <w:pStyle w:val="NormalWeb"/>
              <w:spacing w:before="0" w:beforeAutospacing="0" w:after="0" w:afterAutospacing="0"/>
              <w:ind w:left="29" w:right="175"/>
              <w:rPr>
                <w:color w:val="000000" w:themeColor="text1"/>
                <w:sz w:val="18"/>
                <w:szCs w:val="18"/>
              </w:rPr>
            </w:pPr>
            <w:r w:rsidRPr="00740E87">
              <w:rPr>
                <w:rFonts w:cs="Times New Roman"/>
                <w:color w:val="000000" w:themeColor="text1"/>
                <w:sz w:val="18"/>
                <w:szCs w:val="18"/>
              </w:rPr>
              <w:t>Funcionales: Sensibilidad en situaciones de crisis</w:t>
            </w:r>
          </w:p>
        </w:tc>
        <w:tc>
          <w:tcPr>
            <w:tcW w:w="3960" w:type="dxa"/>
          </w:tcPr>
          <w:p w14:paraId="4B1826A2" w14:textId="77777777" w:rsidR="00646E50" w:rsidRPr="00740E87" w:rsidRDefault="00646E50" w:rsidP="000E6382">
            <w:pPr>
              <w:pStyle w:val="NormalWeb"/>
              <w:spacing w:before="0" w:beforeAutospacing="0" w:after="0" w:afterAutospacing="0"/>
              <w:ind w:left="29" w:right="175"/>
              <w:rPr>
                <w:rFonts w:cs="Times New Roman"/>
                <w:color w:val="000000" w:themeColor="text1"/>
                <w:sz w:val="18"/>
                <w:szCs w:val="18"/>
              </w:rPr>
            </w:pPr>
          </w:p>
          <w:p w14:paraId="788EFBE0" w14:textId="77777777" w:rsidR="00646E50" w:rsidRPr="00740E87" w:rsidRDefault="00646E50" w:rsidP="000E6382">
            <w:pPr>
              <w:pStyle w:val="NormalWeb"/>
              <w:spacing w:before="0" w:beforeAutospacing="0" w:after="0" w:afterAutospacing="0"/>
              <w:ind w:left="29" w:right="175"/>
              <w:rPr>
                <w:rFonts w:cs="Times New Roman"/>
                <w:color w:val="000000" w:themeColor="text1"/>
                <w:sz w:val="18"/>
                <w:szCs w:val="18"/>
              </w:rPr>
            </w:pPr>
            <w:r w:rsidRPr="00740E87">
              <w:rPr>
                <w:rFonts w:cs="Times New Roman"/>
                <w:color w:val="000000" w:themeColor="text1"/>
                <w:sz w:val="18"/>
                <w:szCs w:val="18"/>
              </w:rPr>
              <w:t>La mujer en caso de ira tiende al autocontrol o la introspección. La reacción ante expresiones descalificadoras es mayor.</w:t>
            </w:r>
          </w:p>
          <w:p w14:paraId="2061B737" w14:textId="77777777" w:rsidR="00646E50" w:rsidRPr="00740E87" w:rsidRDefault="00646E50" w:rsidP="000E6382">
            <w:pPr>
              <w:pStyle w:val="NormalWeb"/>
              <w:spacing w:before="0" w:beforeAutospacing="0" w:after="0" w:afterAutospacing="0"/>
              <w:ind w:left="29" w:right="175"/>
              <w:rPr>
                <w:rFonts w:cs="Times New Roman"/>
                <w:color w:val="000000" w:themeColor="text1"/>
                <w:sz w:val="18"/>
                <w:szCs w:val="18"/>
              </w:rPr>
            </w:pPr>
          </w:p>
        </w:tc>
        <w:tc>
          <w:tcPr>
            <w:tcW w:w="2835" w:type="dxa"/>
          </w:tcPr>
          <w:p w14:paraId="5FBE6FC0" w14:textId="77777777" w:rsidR="00646E50" w:rsidRPr="00740E87" w:rsidRDefault="00646E50" w:rsidP="000E6382">
            <w:pPr>
              <w:pStyle w:val="NormalWeb"/>
              <w:spacing w:before="0" w:beforeAutospacing="0" w:after="0" w:afterAutospacing="0"/>
              <w:rPr>
                <w:rFonts w:cs="Times New Roman"/>
                <w:color w:val="000000" w:themeColor="text1"/>
                <w:sz w:val="18"/>
                <w:szCs w:val="18"/>
              </w:rPr>
            </w:pPr>
          </w:p>
          <w:p w14:paraId="27D2107D" w14:textId="77777777" w:rsidR="00646E50" w:rsidRPr="00740E87" w:rsidRDefault="00646E50" w:rsidP="000E6382">
            <w:pPr>
              <w:pStyle w:val="NormalWeb"/>
              <w:spacing w:before="0" w:beforeAutospacing="0" w:after="0" w:afterAutospacing="0"/>
              <w:rPr>
                <w:rFonts w:cs="Times New Roman"/>
                <w:color w:val="000000" w:themeColor="text1"/>
                <w:sz w:val="18"/>
                <w:szCs w:val="18"/>
              </w:rPr>
            </w:pPr>
            <w:r w:rsidRPr="00740E87">
              <w:rPr>
                <w:rFonts w:cs="Times New Roman"/>
                <w:color w:val="000000" w:themeColor="text1"/>
                <w:sz w:val="18"/>
                <w:szCs w:val="18"/>
              </w:rPr>
              <w:t>En casos de ira, el hombre reacciona de forma más agresiva y física.</w:t>
            </w:r>
          </w:p>
          <w:p w14:paraId="40CF48ED" w14:textId="77777777" w:rsidR="00646E50" w:rsidRPr="00740E87" w:rsidRDefault="00646E50" w:rsidP="000E6382">
            <w:pPr>
              <w:pStyle w:val="NormalWeb"/>
              <w:spacing w:before="0" w:beforeAutospacing="0" w:after="0" w:afterAutospacing="0"/>
              <w:rPr>
                <w:rFonts w:cs="Times New Roman"/>
                <w:color w:val="000000" w:themeColor="text1"/>
                <w:sz w:val="18"/>
                <w:szCs w:val="18"/>
              </w:rPr>
            </w:pPr>
          </w:p>
        </w:tc>
      </w:tr>
      <w:tr w:rsidR="00646E50" w:rsidRPr="00740E87" w14:paraId="447F5083" w14:textId="77777777" w:rsidTr="00990AFB">
        <w:tc>
          <w:tcPr>
            <w:tcW w:w="2410" w:type="dxa"/>
            <w:tcBorders>
              <w:bottom w:val="single" w:sz="4" w:space="0" w:color="auto"/>
            </w:tcBorders>
          </w:tcPr>
          <w:p w14:paraId="4D32F174" w14:textId="77777777" w:rsidR="00646E50" w:rsidRPr="00740E87" w:rsidRDefault="00646E50" w:rsidP="000E6382">
            <w:pPr>
              <w:pStyle w:val="NormalWeb"/>
              <w:spacing w:before="0" w:beforeAutospacing="0" w:after="0" w:afterAutospacing="0"/>
              <w:ind w:left="29" w:right="175"/>
              <w:rPr>
                <w:color w:val="000000" w:themeColor="text1"/>
                <w:sz w:val="18"/>
                <w:szCs w:val="18"/>
              </w:rPr>
            </w:pPr>
            <w:r w:rsidRPr="00740E87">
              <w:rPr>
                <w:rFonts w:cs="Times New Roman"/>
                <w:color w:val="000000" w:themeColor="text1"/>
                <w:sz w:val="18"/>
                <w:szCs w:val="18"/>
              </w:rPr>
              <w:t>Funcionales: Concentración</w:t>
            </w:r>
          </w:p>
        </w:tc>
        <w:tc>
          <w:tcPr>
            <w:tcW w:w="3960" w:type="dxa"/>
            <w:tcBorders>
              <w:bottom w:val="single" w:sz="4" w:space="0" w:color="auto"/>
            </w:tcBorders>
          </w:tcPr>
          <w:p w14:paraId="3665C948" w14:textId="77777777" w:rsidR="00646E50" w:rsidRPr="00740E87" w:rsidRDefault="00646E50" w:rsidP="000E6382">
            <w:pPr>
              <w:pStyle w:val="NormalWeb"/>
              <w:spacing w:before="0" w:beforeAutospacing="0" w:after="0" w:afterAutospacing="0"/>
              <w:ind w:left="29" w:right="175"/>
              <w:rPr>
                <w:rFonts w:cs="Times New Roman"/>
                <w:color w:val="000000" w:themeColor="text1"/>
                <w:sz w:val="18"/>
                <w:szCs w:val="18"/>
              </w:rPr>
            </w:pPr>
            <w:r w:rsidRPr="00740E87">
              <w:rPr>
                <w:rFonts w:cs="Times New Roman"/>
                <w:color w:val="000000" w:themeColor="text1"/>
                <w:sz w:val="18"/>
                <w:szCs w:val="18"/>
              </w:rPr>
              <w:t>Se le dificulta concentrarse cuando algo la conmueve profundamente, el cerebro emocional tiene reacciones más intensas.</w:t>
            </w:r>
          </w:p>
        </w:tc>
        <w:tc>
          <w:tcPr>
            <w:tcW w:w="2835" w:type="dxa"/>
            <w:tcBorders>
              <w:bottom w:val="single" w:sz="4" w:space="0" w:color="auto"/>
            </w:tcBorders>
          </w:tcPr>
          <w:p w14:paraId="79E79656" w14:textId="77777777" w:rsidR="00646E50" w:rsidRPr="00740E87" w:rsidRDefault="00646E50" w:rsidP="000E6382">
            <w:pPr>
              <w:pStyle w:val="NormalWeb"/>
              <w:spacing w:before="0" w:beforeAutospacing="0" w:after="0" w:afterAutospacing="0"/>
              <w:rPr>
                <w:rFonts w:cs="Times New Roman"/>
                <w:color w:val="000000" w:themeColor="text1"/>
                <w:sz w:val="18"/>
                <w:szCs w:val="18"/>
              </w:rPr>
            </w:pPr>
            <w:r w:rsidRPr="00740E87">
              <w:rPr>
                <w:rFonts w:cs="Times New Roman"/>
                <w:color w:val="000000" w:themeColor="text1"/>
                <w:sz w:val="18"/>
                <w:szCs w:val="18"/>
              </w:rPr>
              <w:t>Puede focalizar su atención o concentrarse sin problemas para estudiar, aun cuando acabe de discutir con algún ser amado.</w:t>
            </w:r>
          </w:p>
        </w:tc>
      </w:tr>
    </w:tbl>
    <w:p w14:paraId="63408163" w14:textId="77777777" w:rsidR="00646E50" w:rsidRPr="00740E87" w:rsidRDefault="00646E50" w:rsidP="000E6382">
      <w:pPr>
        <w:pStyle w:val="NormalWeb"/>
        <w:spacing w:before="0" w:beforeAutospacing="0" w:after="0" w:afterAutospacing="0" w:line="360" w:lineRule="auto"/>
        <w:jc w:val="both"/>
        <w:rPr>
          <w:i/>
          <w:iCs/>
          <w:color w:val="000000" w:themeColor="text1"/>
        </w:rPr>
      </w:pPr>
      <w:r w:rsidRPr="00740E87">
        <w:rPr>
          <w:i/>
          <w:iCs/>
          <w:color w:val="000000" w:themeColor="text1"/>
        </w:rPr>
        <w:t>Fuente: Braidot, 2016, p.1174.</w:t>
      </w:r>
    </w:p>
    <w:p w14:paraId="0CC08E54" w14:textId="77777777" w:rsidR="009B1EB4" w:rsidRDefault="009B1EB4" w:rsidP="0069627F">
      <w:pPr>
        <w:spacing w:line="360" w:lineRule="auto"/>
        <w:jc w:val="both"/>
        <w:rPr>
          <w:b/>
          <w:color w:val="000000" w:themeColor="text1"/>
        </w:rPr>
      </w:pPr>
    </w:p>
    <w:p w14:paraId="77ABD4F9" w14:textId="1B8D089C" w:rsidR="00646E50" w:rsidRPr="00740E87" w:rsidRDefault="00646E50" w:rsidP="000E6382">
      <w:pPr>
        <w:spacing w:line="360" w:lineRule="auto"/>
        <w:jc w:val="both"/>
        <w:rPr>
          <w:color w:val="000000" w:themeColor="text1"/>
        </w:rPr>
      </w:pPr>
      <w:r w:rsidRPr="00740E87">
        <w:rPr>
          <w:color w:val="000000" w:themeColor="text1"/>
        </w:rPr>
        <w:t xml:space="preserve">El uso y aplicación de esta estrategia continúa vigente, en últimas fechas la UNESCO ha indicado que “Adoptar un enfoque de ALTV puede dinamizar la reforma educativa necesaria para cumplir con el Objetivo de Desarrollo Sostenible 4 de la Agenda 2030” (UNESCO, 2020 p. 42) así como que “Un enfoque de ALTV es esencial para el desarrollo del trabajo decente. Conocimientos, habilidades, aptitudes y actitudes para el trabajo se desarrollan no sólo en el sistema educativo sino en la familia, la comunidad, el propio </w:t>
      </w:r>
      <w:r w:rsidRPr="00740E87">
        <w:rPr>
          <w:color w:val="000000" w:themeColor="text1"/>
        </w:rPr>
        <w:lastRenderedPageBreak/>
        <w:t>trabajo y el sinnúmero de actividades y aprendizajes informales que realizan las personas a lo largo de su vida” (UNESCO, 2020 p. 44).</w:t>
      </w:r>
    </w:p>
    <w:p w14:paraId="16164D18" w14:textId="77777777" w:rsidR="00646E50" w:rsidRPr="00740E87" w:rsidRDefault="00646E50" w:rsidP="000E6382">
      <w:pPr>
        <w:spacing w:line="360" w:lineRule="auto"/>
        <w:ind w:firstLine="340"/>
        <w:jc w:val="both"/>
        <w:rPr>
          <w:color w:val="000000" w:themeColor="text1"/>
        </w:rPr>
      </w:pPr>
    </w:p>
    <w:p w14:paraId="70985647" w14:textId="1B47D394" w:rsidR="00646E50" w:rsidRPr="00740E87" w:rsidRDefault="00E96983" w:rsidP="00E96983">
      <w:pPr>
        <w:spacing w:line="360" w:lineRule="auto"/>
        <w:jc w:val="both"/>
        <w:rPr>
          <w:color w:val="000000" w:themeColor="text1"/>
        </w:rPr>
      </w:pPr>
      <w:r>
        <w:rPr>
          <w:color w:val="000000" w:themeColor="text1"/>
        </w:rPr>
        <w:t xml:space="preserve">El aprendizaje permanente se define como </w:t>
      </w:r>
      <w:r w:rsidRPr="00E96983">
        <w:rPr>
          <w:color w:val="000000" w:themeColor="text1"/>
        </w:rPr>
        <w:t>“el conjunto de actividades de aprendizaje realizadas a lo largo de la vida con el fin de desarrollar las</w:t>
      </w:r>
      <w:r w:rsidR="006B75EE">
        <w:rPr>
          <w:color w:val="000000" w:themeColor="text1"/>
        </w:rPr>
        <w:t xml:space="preserve"> </w:t>
      </w:r>
      <w:r w:rsidRPr="00E96983">
        <w:rPr>
          <w:color w:val="000000" w:themeColor="text1"/>
        </w:rPr>
        <w:t>competencias y cualificaciones”</w:t>
      </w:r>
      <w:r w:rsidR="006B75EE">
        <w:rPr>
          <w:color w:val="000000" w:themeColor="text1"/>
        </w:rPr>
        <w:t xml:space="preserve"> (</w:t>
      </w:r>
      <w:r w:rsidR="006B75EE" w:rsidRPr="006B75EE">
        <w:rPr>
          <w:color w:val="000000" w:themeColor="text1"/>
        </w:rPr>
        <w:t xml:space="preserve">Organización Internacional del Trabajo </w:t>
      </w:r>
      <w:r w:rsidR="006B75EE">
        <w:rPr>
          <w:color w:val="000000" w:themeColor="text1"/>
        </w:rPr>
        <w:t>(OIT)</w:t>
      </w:r>
      <w:r w:rsidRPr="00E96983">
        <w:rPr>
          <w:color w:val="000000" w:themeColor="text1"/>
        </w:rPr>
        <w:t xml:space="preserve">, </w:t>
      </w:r>
      <w:r w:rsidR="006B75EE">
        <w:rPr>
          <w:color w:val="000000" w:themeColor="text1"/>
        </w:rPr>
        <w:t>2004). Su importancia</w:t>
      </w:r>
      <w:r w:rsidR="00646E50" w:rsidRPr="00740E87">
        <w:rPr>
          <w:color w:val="000000" w:themeColor="text1"/>
        </w:rPr>
        <w:t xml:space="preserve">, se identifica en algunos lineamientos y declaraciones como es el caso de la OCDE (2021) que indica que “los países deberán redoblar esfuerzos para que las personas continúen </w:t>
      </w:r>
      <w:r w:rsidR="00646E50" w:rsidRPr="00740E87">
        <w:rPr>
          <w:b/>
          <w:color w:val="000000" w:themeColor="text1"/>
        </w:rPr>
        <w:t>aprendiendo durante toda su vida</w:t>
      </w:r>
      <w:r w:rsidR="00646E50" w:rsidRPr="00740E87">
        <w:rPr>
          <w:color w:val="000000" w:themeColor="text1"/>
        </w:rPr>
        <w:t>, de modo que puedan desenvolverse con eficacia en un mundo laboral envuelto en una veloz evolución y sacudido por la globalización y la pandemia de COVID-19” (OCDE, 2021).</w:t>
      </w:r>
    </w:p>
    <w:p w14:paraId="1F32C35A" w14:textId="77777777" w:rsidR="00646E50" w:rsidRPr="00740E87" w:rsidRDefault="00646E50" w:rsidP="000E6382">
      <w:pPr>
        <w:spacing w:line="360" w:lineRule="auto"/>
        <w:ind w:firstLine="340"/>
        <w:jc w:val="both"/>
        <w:rPr>
          <w:color w:val="000000" w:themeColor="text1"/>
        </w:rPr>
      </w:pPr>
    </w:p>
    <w:p w14:paraId="797D1A59" w14:textId="77777777" w:rsidR="00646E50" w:rsidRPr="00740E87" w:rsidRDefault="00646E50" w:rsidP="000E6382">
      <w:pPr>
        <w:spacing w:line="360" w:lineRule="auto"/>
        <w:jc w:val="both"/>
        <w:rPr>
          <w:color w:val="000000" w:themeColor="text1"/>
        </w:rPr>
      </w:pPr>
      <w:bookmarkStart w:id="0" w:name="_gjdgxs" w:colFirst="0" w:colLast="0"/>
      <w:bookmarkEnd w:id="0"/>
      <w:r w:rsidRPr="00740E87">
        <w:rPr>
          <w:color w:val="000000" w:themeColor="text1"/>
        </w:rPr>
        <w:t>El Consejo de la Unión Europea en su recomendación relativa a las competencias clave para el aprendizaje permanente, las definen y describen y en su resolución relativa a un marco estratégico para la cooperación europea en el ámbito de la educación y la formación con miras al Espacio Europeo de Educación y más allá (2021-2030), indican en la primera de las cinco prioridades del marco, que las competencias clave y las capacidades básicas son las bases fundamentales del éxito futuro, así como, que son una condición previa para prosperar en la vida, encontrar o crear empleos gratificantes y convertirse en un ciudadano comprometido (Consejo de la Unión Europea, 2021).</w:t>
      </w:r>
    </w:p>
    <w:p w14:paraId="4F68D38C" w14:textId="77777777" w:rsidR="00646E50" w:rsidRPr="00740E87" w:rsidRDefault="00646E50" w:rsidP="000E6382">
      <w:pPr>
        <w:spacing w:line="360" w:lineRule="auto"/>
        <w:ind w:firstLine="284"/>
        <w:jc w:val="both"/>
        <w:rPr>
          <w:color w:val="000000" w:themeColor="text1"/>
        </w:rPr>
      </w:pPr>
    </w:p>
    <w:p w14:paraId="0ABA51D3" w14:textId="77777777" w:rsidR="00646E50" w:rsidRPr="00740E87" w:rsidRDefault="00646E50" w:rsidP="000E6382">
      <w:pPr>
        <w:spacing w:line="360" w:lineRule="auto"/>
        <w:jc w:val="both"/>
        <w:rPr>
          <w:color w:val="000000" w:themeColor="text1"/>
        </w:rPr>
      </w:pPr>
      <w:r w:rsidRPr="00740E87">
        <w:rPr>
          <w:color w:val="000000" w:themeColor="text1"/>
        </w:rPr>
        <w:t>Con lo anterior se evidencia que las competencias clave para el aprendizaje permanente son un concepto vigente, aún más importante es que son aplicables para dar respuesta a lo que los jóvenes buscan en la Educación Superior, que de acuerdo a un informe de la UNESCO es: mejorar su conocimiento, mejorar su calidad de vida, mejorar sus perspectivas de empleo, contribuir a resolver problemas nacionales/globales, aprender a ser más creativo/innovador y apoyar a su comunidad (UNESCO, 2022).</w:t>
      </w:r>
    </w:p>
    <w:p w14:paraId="28E1CA25" w14:textId="77777777" w:rsidR="00646E50" w:rsidRPr="00740E87" w:rsidRDefault="00646E50" w:rsidP="000E6382">
      <w:pPr>
        <w:spacing w:line="360" w:lineRule="auto"/>
        <w:ind w:firstLine="340"/>
        <w:jc w:val="both"/>
        <w:rPr>
          <w:b/>
          <w:color w:val="000000" w:themeColor="text1"/>
        </w:rPr>
      </w:pPr>
    </w:p>
    <w:p w14:paraId="2A3CC8B7" w14:textId="77777777" w:rsidR="00646E50" w:rsidRPr="00EB2A66" w:rsidRDefault="00646E50" w:rsidP="000E6382">
      <w:pPr>
        <w:spacing w:line="360" w:lineRule="auto"/>
        <w:jc w:val="both"/>
        <w:rPr>
          <w:color w:val="000000" w:themeColor="text1"/>
        </w:rPr>
      </w:pPr>
      <w:r w:rsidRPr="00EB2A66">
        <w:rPr>
          <w:color w:val="000000" w:themeColor="text1"/>
        </w:rPr>
        <w:t>De acuerdo al Consejo de la Unión Europea (2018) las competencias clave para el aprendizaje permanente se definen como:</w:t>
      </w:r>
    </w:p>
    <w:p w14:paraId="78ECCD0C" w14:textId="77777777" w:rsidR="00646E50" w:rsidRPr="00EB2A66" w:rsidRDefault="00646E50" w:rsidP="000E6382">
      <w:pPr>
        <w:pStyle w:val="Prrafodelista"/>
        <w:numPr>
          <w:ilvl w:val="0"/>
          <w:numId w:val="3"/>
        </w:numPr>
        <w:tabs>
          <w:tab w:val="clear" w:pos="1004"/>
        </w:tabs>
        <w:spacing w:after="0" w:line="360" w:lineRule="auto"/>
        <w:ind w:left="567" w:hanging="283"/>
        <w:contextualSpacing/>
        <w:jc w:val="both"/>
        <w:rPr>
          <w:rFonts w:ascii="Times New Roman" w:hAnsi="Times New Roman" w:cs="Times New Roman"/>
          <w:color w:val="000000" w:themeColor="text1"/>
          <w:sz w:val="24"/>
          <w:szCs w:val="24"/>
        </w:rPr>
      </w:pPr>
      <w:r w:rsidRPr="00EB2A66">
        <w:rPr>
          <w:rFonts w:ascii="Times New Roman" w:hAnsi="Times New Roman" w:cs="Times New Roman"/>
          <w:b/>
          <w:bCs/>
          <w:i/>
          <w:iCs/>
          <w:color w:val="000000" w:themeColor="text1"/>
          <w:sz w:val="24"/>
          <w:szCs w:val="24"/>
        </w:rPr>
        <w:lastRenderedPageBreak/>
        <w:t>Lectoescritura;</w:t>
      </w:r>
      <w:r w:rsidRPr="00EB2A66">
        <w:rPr>
          <w:rFonts w:ascii="Times New Roman" w:hAnsi="Times New Roman" w:cs="Times New Roman"/>
          <w:b/>
          <w:bCs/>
          <w:color w:val="000000" w:themeColor="text1"/>
          <w:sz w:val="24"/>
          <w:szCs w:val="24"/>
        </w:rPr>
        <w:t xml:space="preserve"> </w:t>
      </w:r>
      <w:r w:rsidRPr="00EB2A66">
        <w:rPr>
          <w:rFonts w:ascii="Times New Roman" w:hAnsi="Times New Roman" w:cs="Times New Roman"/>
          <w:color w:val="000000" w:themeColor="text1"/>
          <w:sz w:val="24"/>
          <w:szCs w:val="24"/>
        </w:rPr>
        <w:t>es la habilidad de identificar, comprender, expresar, crear e interpretar conceptos, sentimientos, hechos y opiniones de forma oral y escrita, mediante materiales visuales, sonoros o de audio y digitales en las distintas disciplinas y contextos. Esto implica la habilidad de comunicarse y conectar eficazmente con otras personas, de forma adecuada y creativa.</w:t>
      </w:r>
    </w:p>
    <w:p w14:paraId="2F834AE2" w14:textId="77777777" w:rsidR="00646E50" w:rsidRPr="00EB2A66" w:rsidRDefault="00646E50" w:rsidP="000E6382">
      <w:pPr>
        <w:pStyle w:val="Prrafodelista"/>
        <w:numPr>
          <w:ilvl w:val="0"/>
          <w:numId w:val="3"/>
        </w:numPr>
        <w:tabs>
          <w:tab w:val="clear" w:pos="1004"/>
        </w:tabs>
        <w:spacing w:after="0" w:line="360" w:lineRule="auto"/>
        <w:ind w:left="567" w:hanging="283"/>
        <w:contextualSpacing/>
        <w:jc w:val="both"/>
        <w:rPr>
          <w:rFonts w:ascii="Times New Roman" w:hAnsi="Times New Roman" w:cs="Times New Roman"/>
          <w:color w:val="000000" w:themeColor="text1"/>
          <w:sz w:val="24"/>
          <w:szCs w:val="24"/>
        </w:rPr>
      </w:pPr>
      <w:r w:rsidRPr="00EB2A66">
        <w:rPr>
          <w:rFonts w:ascii="Times New Roman" w:hAnsi="Times New Roman" w:cs="Times New Roman"/>
          <w:b/>
          <w:bCs/>
          <w:i/>
          <w:iCs/>
          <w:color w:val="000000" w:themeColor="text1"/>
          <w:sz w:val="24"/>
          <w:szCs w:val="24"/>
        </w:rPr>
        <w:t>Multilingüe;</w:t>
      </w:r>
      <w:r w:rsidRPr="00EB2A66">
        <w:rPr>
          <w:rFonts w:ascii="Times New Roman" w:hAnsi="Times New Roman" w:cs="Times New Roman"/>
          <w:color w:val="000000" w:themeColor="text1"/>
          <w:sz w:val="24"/>
          <w:szCs w:val="24"/>
        </w:rPr>
        <w:t xml:space="preserve"> es la habilidad de utilizar distintas lenguas de forma adecuada y efectiva para la comunicación</w:t>
      </w:r>
    </w:p>
    <w:p w14:paraId="5ADC8DF3" w14:textId="77777777" w:rsidR="00646E50" w:rsidRPr="00EB2A66" w:rsidRDefault="00646E50" w:rsidP="000E6382">
      <w:pPr>
        <w:pStyle w:val="Prrafodelista"/>
        <w:numPr>
          <w:ilvl w:val="0"/>
          <w:numId w:val="3"/>
        </w:numPr>
        <w:tabs>
          <w:tab w:val="clear" w:pos="1004"/>
        </w:tabs>
        <w:spacing w:after="0" w:line="360" w:lineRule="auto"/>
        <w:ind w:left="567" w:hanging="283"/>
        <w:contextualSpacing/>
        <w:jc w:val="both"/>
        <w:rPr>
          <w:rFonts w:ascii="Times New Roman" w:hAnsi="Times New Roman" w:cs="Times New Roman"/>
          <w:color w:val="000000" w:themeColor="text1"/>
          <w:sz w:val="24"/>
          <w:szCs w:val="24"/>
        </w:rPr>
      </w:pPr>
      <w:r w:rsidRPr="00EB2A66">
        <w:rPr>
          <w:rFonts w:ascii="Times New Roman" w:hAnsi="Times New Roman" w:cs="Times New Roman"/>
          <w:b/>
          <w:bCs/>
          <w:i/>
          <w:iCs/>
          <w:color w:val="000000" w:themeColor="text1"/>
          <w:sz w:val="24"/>
          <w:szCs w:val="24"/>
        </w:rPr>
        <w:t>Matemática y competencia en ciencia, tecnología e ingeniería;</w:t>
      </w:r>
      <w:r w:rsidRPr="00EB2A66">
        <w:rPr>
          <w:rFonts w:ascii="Times New Roman" w:hAnsi="Times New Roman" w:cs="Times New Roman"/>
          <w:color w:val="000000" w:themeColor="text1"/>
          <w:sz w:val="24"/>
          <w:szCs w:val="24"/>
        </w:rPr>
        <w:t xml:space="preserve"> la competencia matemática es la habilidad de desarrollar y aplicar el razonamiento y la perspectiva matemáticos con el fin de resolver diversos problemas en situaciones cotidianas. La competencia en ciencia alude a la habilidad y la voluntad de explicar el mundo natural utilizando el conjunto de los conocimientos y la metodología empleados, incluidas la observación y la experimentación, con el fin de plantear preguntas y extraer conclusiones basadas en pruebas.</w:t>
      </w:r>
    </w:p>
    <w:p w14:paraId="5A3E98EA" w14:textId="77777777" w:rsidR="00646E50" w:rsidRPr="00EB2A66" w:rsidRDefault="00646E50" w:rsidP="000E6382">
      <w:pPr>
        <w:pStyle w:val="Prrafodelista"/>
        <w:numPr>
          <w:ilvl w:val="0"/>
          <w:numId w:val="3"/>
        </w:numPr>
        <w:tabs>
          <w:tab w:val="clear" w:pos="1004"/>
        </w:tabs>
        <w:spacing w:after="0" w:line="360" w:lineRule="auto"/>
        <w:ind w:left="567" w:hanging="283"/>
        <w:contextualSpacing/>
        <w:jc w:val="both"/>
        <w:rPr>
          <w:rFonts w:ascii="Times New Roman" w:hAnsi="Times New Roman" w:cs="Times New Roman"/>
          <w:color w:val="000000" w:themeColor="text1"/>
          <w:sz w:val="24"/>
          <w:szCs w:val="24"/>
        </w:rPr>
      </w:pPr>
      <w:r w:rsidRPr="00EB2A66">
        <w:rPr>
          <w:rFonts w:ascii="Times New Roman" w:hAnsi="Times New Roman" w:cs="Times New Roman"/>
          <w:b/>
          <w:bCs/>
          <w:i/>
          <w:iCs/>
          <w:color w:val="000000" w:themeColor="text1"/>
          <w:sz w:val="24"/>
          <w:szCs w:val="24"/>
        </w:rPr>
        <w:t>Digital;</w:t>
      </w:r>
      <w:r w:rsidRPr="00EB2A66">
        <w:rPr>
          <w:rFonts w:ascii="Times New Roman" w:hAnsi="Times New Roman" w:cs="Times New Roman"/>
          <w:color w:val="000000" w:themeColor="text1"/>
          <w:sz w:val="24"/>
          <w:szCs w:val="24"/>
        </w:rPr>
        <w:t xml:space="preserve"> implica el uso seguro, crítico y responsable de las tecnologías digitales para el aprendizaje, en el trabajo y para la participación en la sociedad, así como la interacción con estas.</w:t>
      </w:r>
    </w:p>
    <w:p w14:paraId="2E7D2997" w14:textId="77777777" w:rsidR="00646E50" w:rsidRPr="00EB2A66" w:rsidRDefault="00646E50" w:rsidP="000E6382">
      <w:pPr>
        <w:pStyle w:val="Prrafodelista"/>
        <w:numPr>
          <w:ilvl w:val="0"/>
          <w:numId w:val="3"/>
        </w:numPr>
        <w:tabs>
          <w:tab w:val="clear" w:pos="1004"/>
        </w:tabs>
        <w:spacing w:after="0" w:line="360" w:lineRule="auto"/>
        <w:ind w:left="567" w:hanging="283"/>
        <w:contextualSpacing/>
        <w:jc w:val="both"/>
        <w:rPr>
          <w:rFonts w:ascii="Times New Roman" w:hAnsi="Times New Roman" w:cs="Times New Roman"/>
          <w:color w:val="000000" w:themeColor="text1"/>
          <w:sz w:val="24"/>
          <w:szCs w:val="24"/>
        </w:rPr>
      </w:pPr>
      <w:r w:rsidRPr="00EB2A66">
        <w:rPr>
          <w:rFonts w:ascii="Times New Roman" w:hAnsi="Times New Roman" w:cs="Times New Roman"/>
          <w:b/>
          <w:bCs/>
          <w:i/>
          <w:iCs/>
          <w:color w:val="000000" w:themeColor="text1"/>
          <w:sz w:val="24"/>
          <w:szCs w:val="24"/>
        </w:rPr>
        <w:t xml:space="preserve">Personal, social y de aprender a aprender: </w:t>
      </w:r>
      <w:r w:rsidRPr="00EB2A66">
        <w:rPr>
          <w:rFonts w:ascii="Times New Roman" w:hAnsi="Times New Roman" w:cs="Times New Roman"/>
          <w:color w:val="000000" w:themeColor="text1"/>
          <w:sz w:val="24"/>
          <w:szCs w:val="24"/>
        </w:rPr>
        <w:t>es la habilidad de reflexionar sobre uno mismo, gestionar el tiempo y la información eficazmente, colaborar con otros de forma constructiva, mantener la resiliencia y gestionar el aprendizaje y la carrera propios.</w:t>
      </w:r>
    </w:p>
    <w:p w14:paraId="12B164DE" w14:textId="77777777" w:rsidR="00646E50" w:rsidRPr="00EB2A66" w:rsidRDefault="00646E50" w:rsidP="000E6382">
      <w:pPr>
        <w:pStyle w:val="Prrafodelista"/>
        <w:numPr>
          <w:ilvl w:val="0"/>
          <w:numId w:val="3"/>
        </w:numPr>
        <w:tabs>
          <w:tab w:val="clear" w:pos="1004"/>
        </w:tabs>
        <w:spacing w:after="0" w:line="360" w:lineRule="auto"/>
        <w:ind w:left="567" w:hanging="283"/>
        <w:contextualSpacing/>
        <w:jc w:val="both"/>
        <w:rPr>
          <w:rFonts w:ascii="Times New Roman" w:hAnsi="Times New Roman" w:cs="Times New Roman"/>
          <w:color w:val="000000" w:themeColor="text1"/>
          <w:sz w:val="24"/>
          <w:szCs w:val="24"/>
        </w:rPr>
      </w:pPr>
      <w:r w:rsidRPr="00EB2A66">
        <w:rPr>
          <w:rFonts w:ascii="Times New Roman" w:hAnsi="Times New Roman" w:cs="Times New Roman"/>
          <w:b/>
          <w:bCs/>
          <w:i/>
          <w:iCs/>
          <w:color w:val="000000" w:themeColor="text1"/>
          <w:sz w:val="24"/>
          <w:szCs w:val="24"/>
        </w:rPr>
        <w:t>Ciudadana;</w:t>
      </w:r>
      <w:r w:rsidRPr="00EB2A66">
        <w:rPr>
          <w:rFonts w:ascii="Times New Roman" w:hAnsi="Times New Roman" w:cs="Times New Roman"/>
          <w:color w:val="000000" w:themeColor="text1"/>
          <w:sz w:val="24"/>
          <w:szCs w:val="24"/>
        </w:rPr>
        <w:t xml:space="preserve"> es la habilidad de actuar como ciudadanos responsables y participar plenamente en la vida social y cívica, basándose en la comprensión de los conceptos y las estructuras sociales, económicas, jurídicas y políticas, así como la sostenibilidad y los acontecimientos mundiales.</w:t>
      </w:r>
    </w:p>
    <w:p w14:paraId="3A77586A" w14:textId="77777777" w:rsidR="00646E50" w:rsidRPr="00EB2A66" w:rsidRDefault="00646E50" w:rsidP="000E6382">
      <w:pPr>
        <w:pStyle w:val="Prrafodelista"/>
        <w:numPr>
          <w:ilvl w:val="0"/>
          <w:numId w:val="3"/>
        </w:numPr>
        <w:tabs>
          <w:tab w:val="clear" w:pos="1004"/>
        </w:tabs>
        <w:spacing w:after="0" w:line="360" w:lineRule="auto"/>
        <w:ind w:left="567" w:hanging="283"/>
        <w:contextualSpacing/>
        <w:jc w:val="both"/>
        <w:rPr>
          <w:rFonts w:ascii="Times New Roman" w:hAnsi="Times New Roman" w:cs="Times New Roman"/>
          <w:color w:val="000000" w:themeColor="text1"/>
          <w:sz w:val="24"/>
          <w:szCs w:val="24"/>
        </w:rPr>
      </w:pPr>
      <w:r w:rsidRPr="00EB2A66">
        <w:rPr>
          <w:rFonts w:ascii="Times New Roman" w:hAnsi="Times New Roman" w:cs="Times New Roman"/>
          <w:b/>
          <w:bCs/>
          <w:i/>
          <w:iCs/>
          <w:color w:val="000000" w:themeColor="text1"/>
          <w:sz w:val="24"/>
          <w:szCs w:val="24"/>
        </w:rPr>
        <w:t>Emprendedora;</w:t>
      </w:r>
      <w:r w:rsidRPr="00EB2A66">
        <w:rPr>
          <w:rFonts w:ascii="Times New Roman" w:hAnsi="Times New Roman" w:cs="Times New Roman"/>
          <w:color w:val="000000" w:themeColor="text1"/>
          <w:sz w:val="24"/>
          <w:szCs w:val="24"/>
        </w:rPr>
        <w:t xml:space="preserve"> se refiere a la capacidad de actuar con arreglo a oportunidades e ideas, y transformarlas en valores para otros.</w:t>
      </w:r>
    </w:p>
    <w:p w14:paraId="0F87A417" w14:textId="77777777" w:rsidR="00646E50" w:rsidRPr="00EB2A66" w:rsidRDefault="00646E50" w:rsidP="000E6382">
      <w:pPr>
        <w:pStyle w:val="Prrafodelista"/>
        <w:numPr>
          <w:ilvl w:val="0"/>
          <w:numId w:val="3"/>
        </w:numPr>
        <w:tabs>
          <w:tab w:val="clear" w:pos="1004"/>
        </w:tabs>
        <w:spacing w:after="0" w:line="360" w:lineRule="auto"/>
        <w:ind w:left="567" w:hanging="283"/>
        <w:contextualSpacing/>
        <w:jc w:val="both"/>
        <w:rPr>
          <w:rFonts w:ascii="Times New Roman" w:hAnsi="Times New Roman" w:cs="Times New Roman"/>
          <w:color w:val="000000" w:themeColor="text1"/>
          <w:sz w:val="24"/>
          <w:szCs w:val="24"/>
        </w:rPr>
      </w:pPr>
      <w:r w:rsidRPr="00EB2A66">
        <w:rPr>
          <w:rFonts w:ascii="Times New Roman" w:hAnsi="Times New Roman" w:cs="Times New Roman"/>
          <w:b/>
          <w:bCs/>
          <w:i/>
          <w:iCs/>
          <w:color w:val="000000" w:themeColor="text1"/>
          <w:sz w:val="24"/>
          <w:szCs w:val="24"/>
        </w:rPr>
        <w:t>Conciencia y expresión culturales;</w:t>
      </w:r>
      <w:r w:rsidRPr="00EB2A66">
        <w:rPr>
          <w:rFonts w:ascii="Times New Roman" w:hAnsi="Times New Roman" w:cs="Times New Roman"/>
          <w:color w:val="000000" w:themeColor="text1"/>
          <w:sz w:val="24"/>
          <w:szCs w:val="24"/>
        </w:rPr>
        <w:t xml:space="preserve"> implica comprender y respetar la forma en que las ideas y el significado se expresan de forma creativa y se comunican en las </w:t>
      </w:r>
      <w:r w:rsidRPr="00EB2A66">
        <w:rPr>
          <w:rFonts w:ascii="Times New Roman" w:hAnsi="Times New Roman" w:cs="Times New Roman"/>
          <w:color w:val="000000" w:themeColor="text1"/>
          <w:sz w:val="24"/>
          <w:szCs w:val="24"/>
        </w:rPr>
        <w:lastRenderedPageBreak/>
        <w:t xml:space="preserve">distintas culturas, así como a través de una serie de artes y otras manifestaciones culturales. </w:t>
      </w:r>
    </w:p>
    <w:p w14:paraId="093E197C" w14:textId="77777777" w:rsidR="00646E50" w:rsidRPr="00EB2A66" w:rsidRDefault="00646E50" w:rsidP="0069627F">
      <w:pPr>
        <w:spacing w:line="360" w:lineRule="auto"/>
        <w:jc w:val="both"/>
        <w:rPr>
          <w:color w:val="000000" w:themeColor="text1"/>
        </w:rPr>
      </w:pPr>
      <w:r w:rsidRPr="00EB2A66">
        <w:rPr>
          <w:color w:val="000000" w:themeColor="text1"/>
        </w:rPr>
        <w:t>Estas ocho competencias son las que se usan como referencia en la presente investigación.</w:t>
      </w:r>
    </w:p>
    <w:p w14:paraId="2E644D57" w14:textId="77777777" w:rsidR="00646E50" w:rsidRPr="00740E87" w:rsidRDefault="00646E50" w:rsidP="000E6382">
      <w:pPr>
        <w:spacing w:line="360" w:lineRule="auto"/>
        <w:ind w:firstLine="284"/>
        <w:jc w:val="both"/>
        <w:rPr>
          <w:b/>
          <w:color w:val="000000" w:themeColor="text1"/>
          <w:sz w:val="28"/>
          <w:szCs w:val="28"/>
        </w:rPr>
      </w:pPr>
    </w:p>
    <w:p w14:paraId="58F7CB49" w14:textId="77777777" w:rsidR="00646E50" w:rsidRPr="00026C0F" w:rsidRDefault="00646E50" w:rsidP="0069627F">
      <w:pPr>
        <w:spacing w:line="360" w:lineRule="auto"/>
        <w:jc w:val="both"/>
        <w:rPr>
          <w:b/>
          <w:color w:val="000000" w:themeColor="text1"/>
        </w:rPr>
      </w:pPr>
      <w:r w:rsidRPr="00026C0F">
        <w:rPr>
          <w:b/>
          <w:color w:val="000000" w:themeColor="text1"/>
        </w:rPr>
        <w:t>Características del entorno laboral actual</w:t>
      </w:r>
    </w:p>
    <w:p w14:paraId="353E90B4" w14:textId="77777777" w:rsidR="00646E50" w:rsidRPr="00740E87" w:rsidRDefault="00646E50" w:rsidP="0069627F">
      <w:pPr>
        <w:spacing w:line="360" w:lineRule="auto"/>
        <w:jc w:val="both"/>
        <w:rPr>
          <w:color w:val="000000" w:themeColor="text1"/>
        </w:rPr>
      </w:pPr>
      <w:r w:rsidRPr="00740E87">
        <w:rPr>
          <w:color w:val="000000" w:themeColor="text1"/>
        </w:rPr>
        <w:t>Con referencia al entorno laboral actual, Manpower Group (2022), indica que el desajuste del talento ha alcanzado máximos históricos; observándose altos niveles de desempleo, un crecimiento económico desigual y nuevos modelos de empleo. Dentro de este contexto, han englobado las tendencias en el periodo posterior a la pandemia COVID-19 en cuatro categorías:</w:t>
      </w:r>
    </w:p>
    <w:p w14:paraId="3C42136C" w14:textId="77777777" w:rsidR="00646E50" w:rsidRPr="00740E87" w:rsidRDefault="00646E50" w:rsidP="000E6382">
      <w:pPr>
        <w:pStyle w:val="Prrafodelista"/>
        <w:numPr>
          <w:ilvl w:val="0"/>
          <w:numId w:val="2"/>
        </w:numPr>
        <w:spacing w:after="0" w:line="360" w:lineRule="auto"/>
        <w:ind w:left="567" w:hanging="283"/>
        <w:contextualSpacing/>
        <w:jc w:val="both"/>
        <w:rPr>
          <w:rFonts w:ascii="Times New Roman" w:hAnsi="Times New Roman" w:cs="Times New Roman"/>
          <w:color w:val="000000" w:themeColor="text1"/>
          <w:sz w:val="24"/>
          <w:szCs w:val="24"/>
        </w:rPr>
      </w:pPr>
      <w:r w:rsidRPr="00740E87">
        <w:rPr>
          <w:rFonts w:ascii="Times New Roman" w:hAnsi="Times New Roman" w:cs="Times New Roman"/>
          <w:b/>
          <w:bCs/>
          <w:i/>
          <w:iCs/>
          <w:color w:val="000000" w:themeColor="text1"/>
          <w:sz w:val="24"/>
          <w:szCs w:val="24"/>
        </w:rPr>
        <w:t>Lo que quieren los profesionales</w:t>
      </w:r>
      <w:r w:rsidRPr="00740E87">
        <w:rPr>
          <w:rFonts w:ascii="Times New Roman" w:hAnsi="Times New Roman" w:cs="Times New Roman"/>
          <w:color w:val="000000" w:themeColor="text1"/>
          <w:sz w:val="24"/>
          <w:szCs w:val="24"/>
        </w:rPr>
        <w:t>; que señala que las personas esperan que las compañías prioricen su propósito y favorezcan su bienestar mientras proporcionan flexibilidad, retribución adecuada, buenas condiciones laborales y desarrollo de competencias.</w:t>
      </w:r>
    </w:p>
    <w:p w14:paraId="4DEFDB65" w14:textId="77777777" w:rsidR="00646E50" w:rsidRPr="00740E87" w:rsidRDefault="00646E50" w:rsidP="000E6382">
      <w:pPr>
        <w:pStyle w:val="Prrafodelista"/>
        <w:numPr>
          <w:ilvl w:val="0"/>
          <w:numId w:val="2"/>
        </w:numPr>
        <w:spacing w:after="0" w:line="360" w:lineRule="auto"/>
        <w:ind w:left="567" w:hanging="283"/>
        <w:contextualSpacing/>
        <w:jc w:val="both"/>
        <w:rPr>
          <w:rFonts w:ascii="Times New Roman" w:hAnsi="Times New Roman" w:cs="Times New Roman"/>
          <w:color w:val="000000" w:themeColor="text1"/>
          <w:sz w:val="24"/>
          <w:szCs w:val="24"/>
        </w:rPr>
      </w:pPr>
      <w:r w:rsidRPr="00740E87">
        <w:rPr>
          <w:rFonts w:ascii="Times New Roman" w:hAnsi="Times New Roman" w:cs="Times New Roman"/>
          <w:b/>
          <w:bCs/>
          <w:i/>
          <w:iCs/>
          <w:color w:val="000000" w:themeColor="text1"/>
          <w:sz w:val="24"/>
          <w:szCs w:val="24"/>
        </w:rPr>
        <w:t>Desajuste de talento</w:t>
      </w:r>
      <w:r w:rsidRPr="00740E87">
        <w:rPr>
          <w:rFonts w:ascii="Times New Roman" w:hAnsi="Times New Roman" w:cs="Times New Roman"/>
          <w:color w:val="000000" w:themeColor="text1"/>
          <w:sz w:val="24"/>
          <w:szCs w:val="24"/>
        </w:rPr>
        <w:t>; las compañías necesitan soluciones más creativas para atraer y retener a los mejores talentos, así como, favorecer el upskilling y reskilling.</w:t>
      </w:r>
    </w:p>
    <w:p w14:paraId="05C07E46" w14:textId="77777777" w:rsidR="00646E50" w:rsidRPr="00740E87" w:rsidRDefault="00646E50" w:rsidP="000E6382">
      <w:pPr>
        <w:pStyle w:val="Prrafodelista"/>
        <w:numPr>
          <w:ilvl w:val="0"/>
          <w:numId w:val="2"/>
        </w:numPr>
        <w:spacing w:after="0" w:line="360" w:lineRule="auto"/>
        <w:ind w:left="567" w:hanging="283"/>
        <w:contextualSpacing/>
        <w:jc w:val="both"/>
        <w:rPr>
          <w:rFonts w:ascii="Times New Roman" w:hAnsi="Times New Roman" w:cs="Times New Roman"/>
          <w:color w:val="000000" w:themeColor="text1"/>
          <w:sz w:val="24"/>
          <w:szCs w:val="24"/>
        </w:rPr>
      </w:pPr>
      <w:r w:rsidRPr="00740E87">
        <w:rPr>
          <w:rFonts w:ascii="Times New Roman" w:hAnsi="Times New Roman" w:cs="Times New Roman"/>
          <w:b/>
          <w:bCs/>
          <w:i/>
          <w:iCs/>
          <w:color w:val="000000" w:themeColor="text1"/>
          <w:sz w:val="24"/>
          <w:szCs w:val="24"/>
        </w:rPr>
        <w:t>Aceleración en la digitalización</w:t>
      </w:r>
      <w:r w:rsidRPr="00740E87">
        <w:rPr>
          <w:rFonts w:ascii="Times New Roman" w:hAnsi="Times New Roman" w:cs="Times New Roman"/>
          <w:color w:val="000000" w:themeColor="text1"/>
          <w:sz w:val="24"/>
          <w:szCs w:val="24"/>
        </w:rPr>
        <w:t>; la pandemia ha acelerado las inversiones en tecnología, y tanto los consumidores como los profesionales esperan que esto facilite los procesos, así como, que se mejoren los conocimientos tecnológicos y competencias sociales de sus profesionales, con el objetivo de convertir los datos en conocimientos y tomar decisiones basadas en los mismos.</w:t>
      </w:r>
    </w:p>
    <w:p w14:paraId="44B8E8F8" w14:textId="77777777" w:rsidR="00646E50" w:rsidRPr="00740E87" w:rsidRDefault="00646E50" w:rsidP="000E6382">
      <w:pPr>
        <w:pStyle w:val="Prrafodelista"/>
        <w:numPr>
          <w:ilvl w:val="0"/>
          <w:numId w:val="2"/>
        </w:numPr>
        <w:spacing w:after="0" w:line="360" w:lineRule="auto"/>
        <w:ind w:left="567" w:hanging="283"/>
        <w:contextualSpacing/>
        <w:jc w:val="both"/>
        <w:rPr>
          <w:rFonts w:ascii="Times New Roman" w:hAnsi="Times New Roman" w:cs="Times New Roman"/>
          <w:color w:val="000000" w:themeColor="text1"/>
          <w:sz w:val="24"/>
          <w:szCs w:val="24"/>
        </w:rPr>
      </w:pPr>
      <w:r w:rsidRPr="00740E87">
        <w:rPr>
          <w:rFonts w:ascii="Times New Roman" w:hAnsi="Times New Roman" w:cs="Times New Roman"/>
          <w:b/>
          <w:bCs/>
          <w:i/>
          <w:iCs/>
          <w:color w:val="000000" w:themeColor="text1"/>
          <w:sz w:val="24"/>
          <w:szCs w:val="24"/>
        </w:rPr>
        <w:t>Reajuste de las empresas</w:t>
      </w:r>
      <w:r w:rsidRPr="00740E87">
        <w:rPr>
          <w:rFonts w:ascii="Times New Roman" w:hAnsi="Times New Roman" w:cs="Times New Roman"/>
          <w:color w:val="000000" w:themeColor="text1"/>
          <w:sz w:val="24"/>
          <w:szCs w:val="24"/>
        </w:rPr>
        <w:t xml:space="preserve">; las organizaciones buscan modelos operativos más ágiles, cadenas de suministro más resilientes, socios más ecológicos y consolidados y soluciones para dar respuesta a la fuerte competitividad, la incertidumbre y la demanda de transparencia. </w:t>
      </w:r>
    </w:p>
    <w:p w14:paraId="6E73416A" w14:textId="77777777" w:rsidR="00646E50" w:rsidRDefault="00646E50" w:rsidP="000E6382">
      <w:pPr>
        <w:spacing w:line="360" w:lineRule="auto"/>
        <w:jc w:val="both"/>
        <w:rPr>
          <w:rFonts w:ascii="Arial" w:hAnsi="Arial" w:cs="Arial"/>
          <w:sz w:val="20"/>
          <w:szCs w:val="20"/>
        </w:rPr>
      </w:pPr>
    </w:p>
    <w:p w14:paraId="6122A71D" w14:textId="77777777" w:rsidR="00CC4E2F" w:rsidRPr="000E3BC1" w:rsidRDefault="00CC4E2F" w:rsidP="000E6382">
      <w:pPr>
        <w:spacing w:line="360" w:lineRule="auto"/>
        <w:jc w:val="both"/>
        <w:rPr>
          <w:b/>
          <w:bCs/>
          <w:szCs w:val="20"/>
        </w:rPr>
      </w:pPr>
      <w:r w:rsidRPr="000E3BC1">
        <w:rPr>
          <w:b/>
          <w:bCs/>
          <w:szCs w:val="20"/>
        </w:rPr>
        <w:t>Empleabilidad</w:t>
      </w:r>
    </w:p>
    <w:p w14:paraId="4F7CC924" w14:textId="77777777" w:rsidR="00250918" w:rsidRDefault="00CC4E2F" w:rsidP="000E6382">
      <w:pPr>
        <w:spacing w:line="360" w:lineRule="auto"/>
        <w:jc w:val="both"/>
        <w:rPr>
          <w:szCs w:val="20"/>
        </w:rPr>
      </w:pPr>
      <w:r w:rsidRPr="00740E87">
        <w:rPr>
          <w:szCs w:val="20"/>
        </w:rPr>
        <w:t xml:space="preserve">La empleabilidad es referida por la Organización Internacional del Trabajo (OIT) como “las competencias y cualificaciones transferibles que refuerzan la capacidad de las personas para aprovechar las oportunidades de educación y de formación que se les </w:t>
      </w:r>
      <w:r w:rsidRPr="00740E87">
        <w:rPr>
          <w:szCs w:val="20"/>
        </w:rPr>
        <w:lastRenderedPageBreak/>
        <w:t>presenten con miras a encontrar y conservar un trabajo decente”</w:t>
      </w:r>
      <w:r w:rsidR="00026C0F">
        <w:rPr>
          <w:szCs w:val="20"/>
        </w:rPr>
        <w:t xml:space="preserve"> </w:t>
      </w:r>
      <w:r w:rsidRPr="00740E87">
        <w:rPr>
          <w:szCs w:val="20"/>
        </w:rPr>
        <w:t>(Centro Interamericano para el Desarrollo del Conocimiento en la Formación Profesional de la Organización Internacional del Trabajo [CINTERFOR], 2023).</w:t>
      </w:r>
      <w:r w:rsidRPr="00740E87">
        <w:rPr>
          <w:szCs w:val="20"/>
        </w:rPr>
        <w:cr/>
      </w:r>
    </w:p>
    <w:p w14:paraId="65ADCF2C" w14:textId="53F1FA9F" w:rsidR="003E4A83" w:rsidRDefault="00250918" w:rsidP="000E6382">
      <w:pPr>
        <w:spacing w:line="360" w:lineRule="auto"/>
        <w:jc w:val="both"/>
        <w:rPr>
          <w:szCs w:val="20"/>
        </w:rPr>
      </w:pPr>
      <w:r w:rsidRPr="00250918">
        <w:rPr>
          <w:szCs w:val="20"/>
        </w:rPr>
        <w:t>La OIT reconoce que la empleabilidad de una persona aumenta con la amplitud de su educación y formación, así como con el desarrollo de habilidades básicas y portables de alto nivel, como el trabajo en equipo, la resolución de problemas</w:t>
      </w:r>
      <w:r w:rsidR="00252D5D">
        <w:rPr>
          <w:szCs w:val="20"/>
        </w:rPr>
        <w:t>,</w:t>
      </w:r>
      <w:r w:rsidRPr="00250918">
        <w:rPr>
          <w:szCs w:val="20"/>
        </w:rPr>
        <w:t xml:space="preserve"> el uso de TIC y las habilidades de comunicación; habilidades que permiten adaptarse a los cambios en el mundo del trabajo</w:t>
      </w:r>
      <w:r w:rsidR="00252D5D">
        <w:rPr>
          <w:szCs w:val="20"/>
        </w:rPr>
        <w:t xml:space="preserve"> (O</w:t>
      </w:r>
      <w:r w:rsidR="007641E0">
        <w:rPr>
          <w:szCs w:val="20"/>
        </w:rPr>
        <w:t xml:space="preserve">rganización Internacional del </w:t>
      </w:r>
      <w:r w:rsidR="00252D5D">
        <w:rPr>
          <w:szCs w:val="20"/>
        </w:rPr>
        <w:t>T</w:t>
      </w:r>
      <w:r w:rsidR="007641E0">
        <w:rPr>
          <w:szCs w:val="20"/>
        </w:rPr>
        <w:t>rabajo [OIT]</w:t>
      </w:r>
      <w:r w:rsidR="00252D5D">
        <w:rPr>
          <w:szCs w:val="20"/>
        </w:rPr>
        <w:t>, 2023)</w:t>
      </w:r>
      <w:r w:rsidR="00252D5D" w:rsidRPr="00250918">
        <w:rPr>
          <w:szCs w:val="20"/>
        </w:rPr>
        <w:t>.</w:t>
      </w:r>
    </w:p>
    <w:p w14:paraId="0E36A349" w14:textId="77777777" w:rsidR="00250918" w:rsidRDefault="00250918" w:rsidP="000E6382">
      <w:pPr>
        <w:spacing w:line="360" w:lineRule="auto"/>
        <w:jc w:val="both"/>
        <w:rPr>
          <w:szCs w:val="20"/>
        </w:rPr>
      </w:pPr>
    </w:p>
    <w:p w14:paraId="78AC65F4" w14:textId="455C00A0" w:rsidR="00CC4E2F" w:rsidRDefault="003E4A83" w:rsidP="00F92ED7">
      <w:pPr>
        <w:spacing w:line="360" w:lineRule="auto"/>
        <w:jc w:val="both"/>
        <w:rPr>
          <w:szCs w:val="20"/>
        </w:rPr>
      </w:pPr>
      <w:r>
        <w:rPr>
          <w:szCs w:val="20"/>
        </w:rPr>
        <w:t xml:space="preserve">La OIT </w:t>
      </w:r>
      <w:r w:rsidR="00D71FDC">
        <w:rPr>
          <w:szCs w:val="20"/>
        </w:rPr>
        <w:t xml:space="preserve">(2023) </w:t>
      </w:r>
      <w:r>
        <w:rPr>
          <w:szCs w:val="20"/>
        </w:rPr>
        <w:t>ha indicado</w:t>
      </w:r>
      <w:r w:rsidR="00D71FDC">
        <w:rPr>
          <w:szCs w:val="20"/>
        </w:rPr>
        <w:t xml:space="preserve"> que l</w:t>
      </w:r>
      <w:r w:rsidRPr="003E4A83">
        <w:rPr>
          <w:szCs w:val="20"/>
        </w:rPr>
        <w:t>a tasa</w:t>
      </w:r>
      <w:r w:rsidR="00D71FDC">
        <w:rPr>
          <w:szCs w:val="20"/>
        </w:rPr>
        <w:t xml:space="preserve"> </w:t>
      </w:r>
      <w:r w:rsidRPr="003E4A83">
        <w:rPr>
          <w:szCs w:val="20"/>
        </w:rPr>
        <w:t xml:space="preserve">mundial de actividad de las mujeres </w:t>
      </w:r>
      <w:r w:rsidR="00D71FDC">
        <w:rPr>
          <w:szCs w:val="20"/>
        </w:rPr>
        <w:t>fue de 47.</w:t>
      </w:r>
      <w:r w:rsidRPr="003E4A83">
        <w:rPr>
          <w:szCs w:val="20"/>
        </w:rPr>
        <w:t>4</w:t>
      </w:r>
      <w:r w:rsidR="00D71FDC">
        <w:rPr>
          <w:szCs w:val="20"/>
        </w:rPr>
        <w:t>%</w:t>
      </w:r>
      <w:r w:rsidRPr="003E4A83">
        <w:rPr>
          <w:szCs w:val="20"/>
        </w:rPr>
        <w:t xml:space="preserve"> en 2022, frente al 72</w:t>
      </w:r>
      <w:r w:rsidR="00D71FDC">
        <w:rPr>
          <w:szCs w:val="20"/>
        </w:rPr>
        <w:t>.</w:t>
      </w:r>
      <w:r w:rsidRPr="003E4A83">
        <w:rPr>
          <w:szCs w:val="20"/>
        </w:rPr>
        <w:t>3</w:t>
      </w:r>
      <w:r w:rsidR="00D71FDC">
        <w:rPr>
          <w:szCs w:val="20"/>
        </w:rPr>
        <w:t xml:space="preserve">% </w:t>
      </w:r>
      <w:r w:rsidRPr="003E4A83">
        <w:rPr>
          <w:szCs w:val="20"/>
        </w:rPr>
        <w:t>en el caso de los hombres</w:t>
      </w:r>
      <w:r w:rsidR="00D71FDC">
        <w:rPr>
          <w:szCs w:val="20"/>
        </w:rPr>
        <w:t xml:space="preserve">, lo que se traduce en que </w:t>
      </w:r>
      <w:r w:rsidRPr="003E4A83">
        <w:rPr>
          <w:szCs w:val="20"/>
        </w:rPr>
        <w:t>por cada</w:t>
      </w:r>
      <w:r w:rsidR="00D71FDC">
        <w:rPr>
          <w:szCs w:val="20"/>
        </w:rPr>
        <w:t xml:space="preserve"> </w:t>
      </w:r>
      <w:r w:rsidRPr="003E4A83">
        <w:rPr>
          <w:szCs w:val="20"/>
        </w:rPr>
        <w:t xml:space="preserve">hombre económicamente inactivo hay dos mujeres en esa misma situación. </w:t>
      </w:r>
      <w:r w:rsidR="00F92ED7">
        <w:rPr>
          <w:szCs w:val="20"/>
        </w:rPr>
        <w:t>En el caso d</w:t>
      </w:r>
      <w:r w:rsidR="00D71FDC">
        <w:rPr>
          <w:szCs w:val="20"/>
        </w:rPr>
        <w:t>e l</w:t>
      </w:r>
      <w:r w:rsidRPr="003E4A83">
        <w:rPr>
          <w:szCs w:val="20"/>
        </w:rPr>
        <w:t>os jóvenes (de 15 a</w:t>
      </w:r>
      <w:r w:rsidR="00D71FDC">
        <w:rPr>
          <w:szCs w:val="20"/>
        </w:rPr>
        <w:t xml:space="preserve"> </w:t>
      </w:r>
      <w:r w:rsidRPr="003E4A83">
        <w:rPr>
          <w:szCs w:val="20"/>
        </w:rPr>
        <w:t>24 años) encuentran graves dificultades para conseguir un empleo decente. Su tasa de desempleo</w:t>
      </w:r>
      <w:r w:rsidR="00D71FDC">
        <w:rPr>
          <w:szCs w:val="20"/>
        </w:rPr>
        <w:t xml:space="preserve"> </w:t>
      </w:r>
      <w:r w:rsidRPr="003E4A83">
        <w:rPr>
          <w:szCs w:val="20"/>
        </w:rPr>
        <w:t>es tres veces superior a la de los adultos (mayores</w:t>
      </w:r>
      <w:r w:rsidR="00D71FDC">
        <w:rPr>
          <w:szCs w:val="20"/>
        </w:rPr>
        <w:t xml:space="preserve"> de 25 años) y </w:t>
      </w:r>
      <w:r w:rsidRPr="003E4A83">
        <w:rPr>
          <w:szCs w:val="20"/>
        </w:rPr>
        <w:t>el</w:t>
      </w:r>
      <w:r w:rsidR="00D71FDC">
        <w:rPr>
          <w:szCs w:val="20"/>
        </w:rPr>
        <w:t xml:space="preserve"> 23.</w:t>
      </w:r>
      <w:r w:rsidRPr="003E4A83">
        <w:rPr>
          <w:szCs w:val="20"/>
        </w:rPr>
        <w:t>5</w:t>
      </w:r>
      <w:r w:rsidR="00D71FDC">
        <w:rPr>
          <w:szCs w:val="20"/>
        </w:rPr>
        <w:t>%</w:t>
      </w:r>
      <w:r w:rsidRPr="003E4A83">
        <w:rPr>
          <w:szCs w:val="20"/>
        </w:rPr>
        <w:t xml:space="preserve"> ni trabajan</w:t>
      </w:r>
      <w:r w:rsidR="00F92ED7">
        <w:rPr>
          <w:szCs w:val="20"/>
        </w:rPr>
        <w:t>,</w:t>
      </w:r>
      <w:r w:rsidRPr="003E4A83">
        <w:rPr>
          <w:szCs w:val="20"/>
        </w:rPr>
        <w:t xml:space="preserve"> ni estudian</w:t>
      </w:r>
      <w:r w:rsidR="00F92ED7">
        <w:rPr>
          <w:szCs w:val="20"/>
        </w:rPr>
        <w:t>,</w:t>
      </w:r>
      <w:r w:rsidRPr="003E4A83">
        <w:rPr>
          <w:szCs w:val="20"/>
        </w:rPr>
        <w:t xml:space="preserve"> ni reciben</w:t>
      </w:r>
      <w:r w:rsidR="00D71FDC">
        <w:rPr>
          <w:szCs w:val="20"/>
        </w:rPr>
        <w:t xml:space="preserve"> </w:t>
      </w:r>
      <w:r w:rsidRPr="003E4A83">
        <w:rPr>
          <w:szCs w:val="20"/>
        </w:rPr>
        <w:t>formación</w:t>
      </w:r>
      <w:r w:rsidR="00D71FDC">
        <w:rPr>
          <w:szCs w:val="20"/>
        </w:rPr>
        <w:t>.</w:t>
      </w:r>
      <w:r w:rsidRPr="003E4A83">
        <w:rPr>
          <w:szCs w:val="20"/>
        </w:rPr>
        <w:t xml:space="preserve"> </w:t>
      </w:r>
      <w:r w:rsidR="00F92ED7">
        <w:rPr>
          <w:szCs w:val="20"/>
        </w:rPr>
        <w:t xml:space="preserve">Adicionalmente, </w:t>
      </w:r>
      <w:r w:rsidR="0037556E">
        <w:rPr>
          <w:szCs w:val="20"/>
        </w:rPr>
        <w:t xml:space="preserve">ha identificado que </w:t>
      </w:r>
      <w:r w:rsidR="00F92ED7" w:rsidRPr="00F92ED7">
        <w:rPr>
          <w:szCs w:val="20"/>
        </w:rPr>
        <w:t>dos tercios de los trabajadores</w:t>
      </w:r>
      <w:r w:rsidR="00F92ED7">
        <w:rPr>
          <w:szCs w:val="20"/>
        </w:rPr>
        <w:t xml:space="preserve"> </w:t>
      </w:r>
      <w:r w:rsidR="00F92ED7" w:rsidRPr="00F92ED7">
        <w:rPr>
          <w:szCs w:val="20"/>
        </w:rPr>
        <w:t xml:space="preserve">jóvenes carecen de competencias </w:t>
      </w:r>
      <w:r w:rsidR="0037556E">
        <w:rPr>
          <w:szCs w:val="20"/>
        </w:rPr>
        <w:t xml:space="preserve">clave, lo cual disminuye </w:t>
      </w:r>
      <w:r w:rsidR="00F92ED7" w:rsidRPr="00F92ED7">
        <w:rPr>
          <w:szCs w:val="20"/>
        </w:rPr>
        <w:t>sus oportunidades laborales</w:t>
      </w:r>
      <w:r w:rsidR="0037556E">
        <w:rPr>
          <w:szCs w:val="20"/>
        </w:rPr>
        <w:t xml:space="preserve">, </w:t>
      </w:r>
      <w:r w:rsidR="0037556E" w:rsidRPr="00F92ED7">
        <w:rPr>
          <w:szCs w:val="20"/>
        </w:rPr>
        <w:t>obligá</w:t>
      </w:r>
      <w:r w:rsidR="0037556E">
        <w:rPr>
          <w:szCs w:val="20"/>
        </w:rPr>
        <w:t>ndoles</w:t>
      </w:r>
      <w:r w:rsidR="00F92ED7" w:rsidRPr="00F92ED7">
        <w:rPr>
          <w:szCs w:val="20"/>
        </w:rPr>
        <w:t xml:space="preserve"> a aceptar empleo</w:t>
      </w:r>
      <w:r w:rsidR="0037556E">
        <w:rPr>
          <w:szCs w:val="20"/>
        </w:rPr>
        <w:t>s</w:t>
      </w:r>
      <w:r w:rsidR="00F92ED7" w:rsidRPr="00F92ED7">
        <w:rPr>
          <w:szCs w:val="20"/>
        </w:rPr>
        <w:t xml:space="preserve"> de menor</w:t>
      </w:r>
      <w:r w:rsidR="00F92ED7">
        <w:rPr>
          <w:szCs w:val="20"/>
        </w:rPr>
        <w:t xml:space="preserve"> </w:t>
      </w:r>
      <w:r w:rsidR="0037556E">
        <w:rPr>
          <w:szCs w:val="20"/>
        </w:rPr>
        <w:t xml:space="preserve">calidad, lo cual genera </w:t>
      </w:r>
      <w:r w:rsidR="00F92ED7" w:rsidRPr="00F92ED7">
        <w:rPr>
          <w:szCs w:val="20"/>
        </w:rPr>
        <w:t>una disminución</w:t>
      </w:r>
      <w:r w:rsidR="00F92ED7">
        <w:rPr>
          <w:szCs w:val="20"/>
        </w:rPr>
        <w:t xml:space="preserve"> </w:t>
      </w:r>
      <w:r w:rsidR="00F92ED7" w:rsidRPr="00F92ED7">
        <w:rPr>
          <w:szCs w:val="20"/>
        </w:rPr>
        <w:t xml:space="preserve">gradual de la calidad </w:t>
      </w:r>
      <w:r w:rsidR="0037556E">
        <w:rPr>
          <w:szCs w:val="20"/>
        </w:rPr>
        <w:t xml:space="preserve">media del nivel educativo y </w:t>
      </w:r>
      <w:r w:rsidR="00F92ED7" w:rsidRPr="00F92ED7">
        <w:rPr>
          <w:szCs w:val="20"/>
        </w:rPr>
        <w:t>contribu</w:t>
      </w:r>
      <w:r w:rsidR="0037556E">
        <w:rPr>
          <w:szCs w:val="20"/>
        </w:rPr>
        <w:t>ye</w:t>
      </w:r>
      <w:r w:rsidR="00F92ED7" w:rsidRPr="00F92ED7">
        <w:rPr>
          <w:szCs w:val="20"/>
        </w:rPr>
        <w:t xml:space="preserve"> a la desaceleración</w:t>
      </w:r>
      <w:r w:rsidR="00F92ED7">
        <w:rPr>
          <w:szCs w:val="20"/>
        </w:rPr>
        <w:t xml:space="preserve"> </w:t>
      </w:r>
      <w:r w:rsidR="00F92ED7" w:rsidRPr="00F92ED7">
        <w:rPr>
          <w:szCs w:val="20"/>
        </w:rPr>
        <w:t>del crecimiento de la productividad.</w:t>
      </w:r>
    </w:p>
    <w:p w14:paraId="5D9DCB91" w14:textId="77777777" w:rsidR="00D71FDC" w:rsidRPr="00740E87" w:rsidRDefault="00D71FDC" w:rsidP="000E6382">
      <w:pPr>
        <w:spacing w:line="360" w:lineRule="auto"/>
        <w:jc w:val="both"/>
        <w:rPr>
          <w:szCs w:val="20"/>
        </w:rPr>
      </w:pPr>
    </w:p>
    <w:p w14:paraId="08D02FDD" w14:textId="7590C473" w:rsidR="00CC4E2F" w:rsidRDefault="00CC4E2F" w:rsidP="000E6382">
      <w:pPr>
        <w:spacing w:line="360" w:lineRule="auto"/>
        <w:jc w:val="both"/>
        <w:rPr>
          <w:szCs w:val="20"/>
        </w:rPr>
      </w:pPr>
      <w:r w:rsidRPr="00CC4E2F">
        <w:rPr>
          <w:szCs w:val="20"/>
        </w:rPr>
        <w:t>De acuerdo a Muñoz (2006)</w:t>
      </w:r>
      <w:r w:rsidR="0037556E">
        <w:rPr>
          <w:szCs w:val="20"/>
        </w:rPr>
        <w:t>,</w:t>
      </w:r>
      <w:r w:rsidRPr="00CC4E2F">
        <w:rPr>
          <w:szCs w:val="20"/>
        </w:rPr>
        <w:t xml:space="preserve"> la empleabilidad de los jóvenes que egresan de las Instituciones de Educación Superior depende del “desempleo funcional” y el “subempleo estructural”. El desempleo funcional se relaciona con la correspondencia entre la preparación adquirida por los jóvenes y la que requieren para desempeñarse exitosamente en el ámbito profesional, mientras que el subempleo estructural se determina por el desequilibrio entre la cantidad de jóvenes que son preparados en el sistema escolar y la capacidad del sistema productivo para absorberlos adecuadamente.</w:t>
      </w:r>
    </w:p>
    <w:p w14:paraId="4DCD772C" w14:textId="77777777" w:rsidR="0037556E" w:rsidRDefault="0037556E" w:rsidP="000E6382">
      <w:pPr>
        <w:spacing w:line="360" w:lineRule="auto"/>
        <w:jc w:val="both"/>
        <w:rPr>
          <w:szCs w:val="20"/>
        </w:rPr>
      </w:pPr>
    </w:p>
    <w:p w14:paraId="7B3840B7" w14:textId="77777777" w:rsidR="001E3DE6" w:rsidRPr="00CC4E2F" w:rsidRDefault="001E3DE6" w:rsidP="000E6382">
      <w:pPr>
        <w:spacing w:line="360" w:lineRule="auto"/>
        <w:jc w:val="both"/>
        <w:rPr>
          <w:szCs w:val="20"/>
        </w:rPr>
      </w:pPr>
    </w:p>
    <w:p w14:paraId="48C8453D" w14:textId="1717FACE" w:rsidR="005C1920" w:rsidRPr="00B60952" w:rsidRDefault="009818A0" w:rsidP="000E6382">
      <w:pPr>
        <w:spacing w:line="360" w:lineRule="auto"/>
        <w:rPr>
          <w:b/>
          <w:color w:val="244061"/>
          <w:sz w:val="28"/>
        </w:rPr>
      </w:pPr>
      <w:r w:rsidRPr="00B60952">
        <w:rPr>
          <w:b/>
          <w:color w:val="244061"/>
          <w:sz w:val="28"/>
        </w:rPr>
        <w:lastRenderedPageBreak/>
        <w:t>3</w:t>
      </w:r>
      <w:r w:rsidR="005C1920" w:rsidRPr="00B60952">
        <w:rPr>
          <w:b/>
          <w:color w:val="244061"/>
          <w:sz w:val="28"/>
        </w:rPr>
        <w:t>. Metodología</w:t>
      </w:r>
    </w:p>
    <w:p w14:paraId="154A7781" w14:textId="052B4318" w:rsidR="00060CE7" w:rsidRPr="00060CE7" w:rsidRDefault="00060CE7" w:rsidP="000E6382">
      <w:pPr>
        <w:spacing w:line="360" w:lineRule="auto"/>
        <w:jc w:val="both"/>
        <w:rPr>
          <w:szCs w:val="20"/>
        </w:rPr>
      </w:pPr>
      <w:r w:rsidRPr="00060CE7">
        <w:rPr>
          <w:szCs w:val="20"/>
        </w:rPr>
        <w:t xml:space="preserve">La investigación fue de tipo cuantitativa exploratoria, </w:t>
      </w:r>
      <w:r w:rsidR="00F87CD8" w:rsidRPr="00060CE7">
        <w:rPr>
          <w:szCs w:val="20"/>
        </w:rPr>
        <w:t>no experimental</w:t>
      </w:r>
      <w:r w:rsidR="00F87CD8">
        <w:rPr>
          <w:szCs w:val="20"/>
        </w:rPr>
        <w:t>,</w:t>
      </w:r>
      <w:r w:rsidR="00F87CD8" w:rsidRPr="00060CE7">
        <w:rPr>
          <w:szCs w:val="20"/>
        </w:rPr>
        <w:t xml:space="preserve"> </w:t>
      </w:r>
      <w:r w:rsidRPr="00060CE7">
        <w:rPr>
          <w:szCs w:val="20"/>
        </w:rPr>
        <w:t>transversal y</w:t>
      </w:r>
      <w:r w:rsidR="00F87CD8" w:rsidRPr="00F87CD8">
        <w:rPr>
          <w:szCs w:val="20"/>
        </w:rPr>
        <w:t xml:space="preserve"> </w:t>
      </w:r>
      <w:r w:rsidR="00F87CD8" w:rsidRPr="00060CE7">
        <w:rPr>
          <w:szCs w:val="20"/>
        </w:rPr>
        <w:t>con un enfoque descriptivo;</w:t>
      </w:r>
      <w:r w:rsidRPr="00060CE7">
        <w:rPr>
          <w:szCs w:val="20"/>
        </w:rPr>
        <w:t xml:space="preserve"> dado que mostró los resultados de las condiciones propias del momento en el que se obtuvo la información, </w:t>
      </w:r>
      <w:r w:rsidR="00F87CD8">
        <w:rPr>
          <w:szCs w:val="20"/>
        </w:rPr>
        <w:t xml:space="preserve">no se manipulan las variables y se </w:t>
      </w:r>
      <w:r w:rsidRPr="00060CE7">
        <w:rPr>
          <w:szCs w:val="20"/>
        </w:rPr>
        <w:t xml:space="preserve">realiza una descripción de los datos obtenidos (Hernández y Mendoza, 2018). </w:t>
      </w:r>
    </w:p>
    <w:p w14:paraId="64D74FED" w14:textId="77777777" w:rsidR="00060CE7" w:rsidRPr="00060CE7" w:rsidRDefault="00060CE7" w:rsidP="000E6382">
      <w:pPr>
        <w:spacing w:line="360" w:lineRule="auto"/>
        <w:jc w:val="both"/>
        <w:rPr>
          <w:szCs w:val="20"/>
        </w:rPr>
      </w:pPr>
    </w:p>
    <w:p w14:paraId="33221C8D" w14:textId="0F6A1490" w:rsidR="00060CE7" w:rsidRDefault="00F87CD8" w:rsidP="000E6382">
      <w:pPr>
        <w:spacing w:line="360" w:lineRule="auto"/>
        <w:jc w:val="both"/>
        <w:rPr>
          <w:szCs w:val="20"/>
        </w:rPr>
      </w:pPr>
      <w:r>
        <w:rPr>
          <w:szCs w:val="20"/>
        </w:rPr>
        <w:t xml:space="preserve">La </w:t>
      </w:r>
      <w:r w:rsidR="00060CE7" w:rsidRPr="00060CE7">
        <w:rPr>
          <w:szCs w:val="20"/>
        </w:rPr>
        <w:t xml:space="preserve">investigación </w:t>
      </w:r>
      <w:r>
        <w:rPr>
          <w:szCs w:val="20"/>
        </w:rPr>
        <w:t xml:space="preserve">planteó como </w:t>
      </w:r>
      <w:r w:rsidRPr="00060CE7">
        <w:rPr>
          <w:szCs w:val="20"/>
        </w:rPr>
        <w:t xml:space="preserve">objetivo principal </w:t>
      </w:r>
      <w:r w:rsidR="00060CE7" w:rsidRPr="00060CE7">
        <w:rPr>
          <w:szCs w:val="20"/>
        </w:rPr>
        <w:t>analizar y describir la percepción que tienen los estudiantes universitarios respecto a la importancia de las ocho competencias clave del aprendizaje permanente</w:t>
      </w:r>
      <w:r w:rsidR="009654C3">
        <w:rPr>
          <w:szCs w:val="20"/>
        </w:rPr>
        <w:t>,</w:t>
      </w:r>
      <w:r w:rsidR="00060CE7" w:rsidRPr="00060CE7">
        <w:rPr>
          <w:szCs w:val="20"/>
        </w:rPr>
        <w:t xml:space="preserve"> desde </w:t>
      </w:r>
      <w:r w:rsidR="00060CE7">
        <w:rPr>
          <w:szCs w:val="20"/>
        </w:rPr>
        <w:t>la</w:t>
      </w:r>
      <w:r w:rsidR="00060CE7" w:rsidRPr="00060CE7">
        <w:rPr>
          <w:szCs w:val="20"/>
        </w:rPr>
        <w:t xml:space="preserve"> perspectiva</w:t>
      </w:r>
      <w:r w:rsidR="00060CE7">
        <w:rPr>
          <w:szCs w:val="20"/>
        </w:rPr>
        <w:t xml:space="preserve"> de </w:t>
      </w:r>
      <w:r w:rsidR="006779EF">
        <w:rPr>
          <w:szCs w:val="20"/>
        </w:rPr>
        <w:t>s</w:t>
      </w:r>
      <w:r w:rsidR="00060CE7" w:rsidRPr="00060CE7">
        <w:rPr>
          <w:szCs w:val="20"/>
        </w:rPr>
        <w:t>u impacto en la empleabilidad. Particularmente se pretendía responder a los cuestionamientos siguientes:</w:t>
      </w:r>
    </w:p>
    <w:p w14:paraId="0D12E5AE" w14:textId="77777777" w:rsidR="007B09FC" w:rsidRPr="00060CE7" w:rsidRDefault="007B09FC" w:rsidP="00252D5D">
      <w:pPr>
        <w:spacing w:line="360" w:lineRule="auto"/>
        <w:ind w:left="708"/>
        <w:jc w:val="both"/>
        <w:rPr>
          <w:szCs w:val="20"/>
        </w:rPr>
      </w:pPr>
      <w:r w:rsidRPr="006779EF">
        <w:rPr>
          <w:szCs w:val="20"/>
        </w:rPr>
        <w:t xml:space="preserve">• ¿Existen diferencias significativas en la competencia percibida como de mayor impacto en la empleabilidad por los estudiantes </w:t>
      </w:r>
      <w:r>
        <w:rPr>
          <w:szCs w:val="20"/>
        </w:rPr>
        <w:t xml:space="preserve">desde la perspectiva </w:t>
      </w:r>
      <w:r w:rsidRPr="006779EF">
        <w:rPr>
          <w:szCs w:val="20"/>
        </w:rPr>
        <w:t xml:space="preserve">de </w:t>
      </w:r>
      <w:r>
        <w:rPr>
          <w:szCs w:val="20"/>
        </w:rPr>
        <w:t>género</w:t>
      </w:r>
      <w:r w:rsidRPr="006779EF">
        <w:rPr>
          <w:szCs w:val="20"/>
        </w:rPr>
        <w:t>?</w:t>
      </w:r>
    </w:p>
    <w:p w14:paraId="39C7265D" w14:textId="3B6DB18C" w:rsidR="00060CE7" w:rsidRPr="00060CE7" w:rsidRDefault="00060CE7" w:rsidP="00252D5D">
      <w:pPr>
        <w:spacing w:line="360" w:lineRule="auto"/>
        <w:ind w:left="708"/>
        <w:jc w:val="both"/>
        <w:rPr>
          <w:szCs w:val="20"/>
        </w:rPr>
      </w:pPr>
      <w:r w:rsidRPr="00060CE7">
        <w:rPr>
          <w:szCs w:val="20"/>
        </w:rPr>
        <w:t xml:space="preserve">• ¿Existen diferencias significativas en la competencia percibida </w:t>
      </w:r>
      <w:r w:rsidR="006779EF">
        <w:rPr>
          <w:szCs w:val="20"/>
        </w:rPr>
        <w:t xml:space="preserve">como de mayor impacto en la empleabilidad </w:t>
      </w:r>
      <w:r w:rsidRPr="00060CE7">
        <w:rPr>
          <w:szCs w:val="20"/>
        </w:rPr>
        <w:t>por los estudiantes en</w:t>
      </w:r>
      <w:r w:rsidR="00F87CD8">
        <w:rPr>
          <w:szCs w:val="20"/>
        </w:rPr>
        <w:t xml:space="preserve"> función del país en el que estudian</w:t>
      </w:r>
      <w:r w:rsidRPr="00060CE7">
        <w:rPr>
          <w:szCs w:val="20"/>
        </w:rPr>
        <w:t>?</w:t>
      </w:r>
    </w:p>
    <w:p w14:paraId="016065B2" w14:textId="77777777" w:rsidR="00060CE7" w:rsidRPr="00060CE7" w:rsidRDefault="00060CE7" w:rsidP="000E6382">
      <w:pPr>
        <w:spacing w:line="360" w:lineRule="auto"/>
        <w:jc w:val="both"/>
        <w:rPr>
          <w:szCs w:val="20"/>
        </w:rPr>
      </w:pPr>
    </w:p>
    <w:p w14:paraId="0871197E" w14:textId="505D9F94" w:rsidR="00060CE7" w:rsidRPr="00060CE7" w:rsidRDefault="00060CE7" w:rsidP="000E6382">
      <w:pPr>
        <w:spacing w:line="360" w:lineRule="auto"/>
        <w:jc w:val="both"/>
        <w:rPr>
          <w:szCs w:val="20"/>
        </w:rPr>
      </w:pPr>
      <w:r w:rsidRPr="00060CE7">
        <w:rPr>
          <w:szCs w:val="20"/>
        </w:rPr>
        <w:t xml:space="preserve">Bisquerra y Pérez (2015), </w:t>
      </w:r>
      <w:r w:rsidR="00F87CD8">
        <w:rPr>
          <w:szCs w:val="20"/>
        </w:rPr>
        <w:t xml:space="preserve">señalan que para </w:t>
      </w:r>
      <w:r w:rsidR="00F87CD8" w:rsidRPr="00060CE7">
        <w:rPr>
          <w:szCs w:val="20"/>
        </w:rPr>
        <w:t xml:space="preserve">mejorar la sensibilidad en la escala de Likert del instrumento, se </w:t>
      </w:r>
      <w:r w:rsidR="00F87CD8">
        <w:rPr>
          <w:szCs w:val="20"/>
        </w:rPr>
        <w:t>debe</w:t>
      </w:r>
      <w:r w:rsidRPr="00060CE7">
        <w:rPr>
          <w:szCs w:val="20"/>
        </w:rPr>
        <w:t xml:space="preserve"> dar preferencia a una escala numérica sobre una semántica, por lo </w:t>
      </w:r>
      <w:r w:rsidR="00F87CD8">
        <w:rPr>
          <w:szCs w:val="20"/>
        </w:rPr>
        <w:t xml:space="preserve">cual </w:t>
      </w:r>
      <w:r w:rsidRPr="00060CE7">
        <w:rPr>
          <w:szCs w:val="20"/>
        </w:rPr>
        <w:t>en las preguntas se estableció solo el valor de mínimo y máximo a los extremos para favorecer la continuidad de la escala en las opciones de respuesta.</w:t>
      </w:r>
    </w:p>
    <w:p w14:paraId="75EBB3C3" w14:textId="77777777" w:rsidR="00060CE7" w:rsidRPr="00060CE7" w:rsidRDefault="00060CE7" w:rsidP="000E6382">
      <w:pPr>
        <w:spacing w:line="360" w:lineRule="auto"/>
        <w:jc w:val="both"/>
        <w:rPr>
          <w:szCs w:val="20"/>
        </w:rPr>
      </w:pPr>
    </w:p>
    <w:p w14:paraId="6E5C3A7F" w14:textId="401F6CE2" w:rsidR="00060CE7" w:rsidRPr="00060CE7" w:rsidRDefault="00060CE7" w:rsidP="000E6382">
      <w:pPr>
        <w:spacing w:line="360" w:lineRule="auto"/>
        <w:jc w:val="both"/>
        <w:rPr>
          <w:szCs w:val="20"/>
        </w:rPr>
      </w:pPr>
      <w:r w:rsidRPr="00060CE7">
        <w:rPr>
          <w:szCs w:val="20"/>
        </w:rPr>
        <w:t xml:space="preserve">El instrumento fue un cuestionario que constó de seis preguntas demográficas de escala nominal (institución de adscripción, </w:t>
      </w:r>
      <w:r w:rsidR="007B09FC">
        <w:rPr>
          <w:szCs w:val="20"/>
        </w:rPr>
        <w:t>país en que estudias</w:t>
      </w:r>
      <w:r w:rsidRPr="00060CE7">
        <w:rPr>
          <w:szCs w:val="20"/>
        </w:rPr>
        <w:t xml:space="preserve">, periodo de estudio, género y edad), </w:t>
      </w:r>
      <w:r w:rsidR="007B09FC">
        <w:rPr>
          <w:szCs w:val="20"/>
        </w:rPr>
        <w:t xml:space="preserve">ocho </w:t>
      </w:r>
      <w:r w:rsidRPr="00060CE7">
        <w:rPr>
          <w:szCs w:val="20"/>
        </w:rPr>
        <w:t xml:space="preserve">preguntas de escala ordinal para identificar la percepción del nivel </w:t>
      </w:r>
      <w:r w:rsidR="009654C3">
        <w:rPr>
          <w:szCs w:val="20"/>
        </w:rPr>
        <w:t xml:space="preserve">de </w:t>
      </w:r>
      <w:r w:rsidRPr="00060CE7">
        <w:rPr>
          <w:szCs w:val="20"/>
        </w:rPr>
        <w:t>impacto en la empleabilidad de las competencias clave y una pregunta para solicitar la autorización del uso de la información.</w:t>
      </w:r>
    </w:p>
    <w:p w14:paraId="633D0150" w14:textId="77777777" w:rsidR="00060CE7" w:rsidRPr="00060CE7" w:rsidRDefault="00060CE7" w:rsidP="000E6382">
      <w:pPr>
        <w:spacing w:line="360" w:lineRule="auto"/>
        <w:jc w:val="both"/>
        <w:rPr>
          <w:szCs w:val="20"/>
        </w:rPr>
      </w:pPr>
    </w:p>
    <w:p w14:paraId="3668388C" w14:textId="5118FD7C" w:rsidR="00060CE7" w:rsidRPr="00060CE7" w:rsidRDefault="00060CE7" w:rsidP="000E6382">
      <w:pPr>
        <w:spacing w:line="360" w:lineRule="auto"/>
        <w:jc w:val="both"/>
        <w:rPr>
          <w:szCs w:val="20"/>
        </w:rPr>
      </w:pPr>
      <w:r w:rsidRPr="00060CE7">
        <w:rPr>
          <w:szCs w:val="20"/>
        </w:rPr>
        <w:t xml:space="preserve">En las preguntas de jerarquización se consideró una escala de 1 a 5, siendo 5 el valor para indicar el mayor; impacto en la empleabilidad y 1 para indicar el menor valor. Cabe </w:t>
      </w:r>
      <w:r w:rsidRPr="00060CE7">
        <w:rPr>
          <w:szCs w:val="20"/>
        </w:rPr>
        <w:lastRenderedPageBreak/>
        <w:t>mencionar que se incluyó en el instrumento la definición de las competencias clave para favorecer la confiabilidad de las valoraciones.</w:t>
      </w:r>
    </w:p>
    <w:p w14:paraId="574E2E92" w14:textId="77777777" w:rsidR="00060CE7" w:rsidRPr="00060CE7" w:rsidRDefault="00060CE7" w:rsidP="000E6382">
      <w:pPr>
        <w:spacing w:line="360" w:lineRule="auto"/>
        <w:jc w:val="both"/>
        <w:rPr>
          <w:szCs w:val="20"/>
        </w:rPr>
      </w:pPr>
    </w:p>
    <w:p w14:paraId="6D5D7D77" w14:textId="46C163E0" w:rsidR="00060CE7" w:rsidRPr="00060CE7" w:rsidRDefault="00060CE7" w:rsidP="000E6382">
      <w:pPr>
        <w:spacing w:line="360" w:lineRule="auto"/>
        <w:jc w:val="both"/>
        <w:rPr>
          <w:szCs w:val="20"/>
        </w:rPr>
      </w:pPr>
      <w:r w:rsidRPr="00060CE7">
        <w:rPr>
          <w:szCs w:val="20"/>
        </w:rPr>
        <w:t xml:space="preserve">La aplicación del cuestionario se realizó a través de un formulario Google y los análisis de la información se realizaron con el </w:t>
      </w:r>
      <w:r w:rsidR="00F87CD8" w:rsidRPr="00060CE7">
        <w:rPr>
          <w:szCs w:val="20"/>
        </w:rPr>
        <w:t xml:space="preserve">Excel </w:t>
      </w:r>
      <w:r w:rsidR="00F87CD8">
        <w:rPr>
          <w:szCs w:val="20"/>
        </w:rPr>
        <w:t>y el software jamovi</w:t>
      </w:r>
      <w:r w:rsidRPr="00060CE7">
        <w:rPr>
          <w:szCs w:val="20"/>
        </w:rPr>
        <w:t xml:space="preserve">. </w:t>
      </w:r>
      <w:r w:rsidR="00F87CD8">
        <w:rPr>
          <w:szCs w:val="20"/>
        </w:rPr>
        <w:t>Este último</w:t>
      </w:r>
      <w:r w:rsidR="007B09FC">
        <w:rPr>
          <w:szCs w:val="20"/>
        </w:rPr>
        <w:t>,</w:t>
      </w:r>
      <w:r w:rsidR="00F87CD8">
        <w:rPr>
          <w:szCs w:val="20"/>
        </w:rPr>
        <w:t xml:space="preserve"> </w:t>
      </w:r>
      <w:r w:rsidRPr="00060CE7">
        <w:rPr>
          <w:szCs w:val="20"/>
        </w:rPr>
        <w:t>es una hoja de cálculo avanzada que permite la realización de cálculos estadísticos complejos, que incluye herramientas para realizar la mayoría de las pruebas estadísticas más clásicas en ciencias sociales (Universitat Oberta de Catalunya, 2019).</w:t>
      </w:r>
    </w:p>
    <w:p w14:paraId="36A323AF" w14:textId="77777777" w:rsidR="00060CE7" w:rsidRPr="00060CE7" w:rsidRDefault="00060CE7" w:rsidP="000E6382">
      <w:pPr>
        <w:spacing w:line="360" w:lineRule="auto"/>
        <w:jc w:val="both"/>
        <w:rPr>
          <w:szCs w:val="20"/>
        </w:rPr>
      </w:pPr>
    </w:p>
    <w:p w14:paraId="2B9CC851" w14:textId="3164675B" w:rsidR="00060CE7" w:rsidRPr="00060CE7" w:rsidRDefault="00F87CD8" w:rsidP="000E6382">
      <w:pPr>
        <w:spacing w:line="360" w:lineRule="auto"/>
        <w:jc w:val="both"/>
        <w:rPr>
          <w:szCs w:val="20"/>
        </w:rPr>
      </w:pPr>
      <w:r>
        <w:rPr>
          <w:szCs w:val="20"/>
        </w:rPr>
        <w:t xml:space="preserve">Se analizó la confiabilidad del instrumento, la cual se </w:t>
      </w:r>
      <w:r w:rsidR="00060CE7" w:rsidRPr="00060CE7">
        <w:rPr>
          <w:szCs w:val="20"/>
        </w:rPr>
        <w:t>ent</w:t>
      </w:r>
      <w:r>
        <w:rPr>
          <w:szCs w:val="20"/>
        </w:rPr>
        <w:t>i</w:t>
      </w:r>
      <w:r w:rsidR="00060CE7" w:rsidRPr="00060CE7">
        <w:rPr>
          <w:szCs w:val="20"/>
        </w:rPr>
        <w:t>end</w:t>
      </w:r>
      <w:r>
        <w:rPr>
          <w:szCs w:val="20"/>
        </w:rPr>
        <w:t>e</w:t>
      </w:r>
      <w:r w:rsidR="00060CE7" w:rsidRPr="00060CE7">
        <w:rPr>
          <w:szCs w:val="20"/>
        </w:rPr>
        <w:t xml:space="preserve"> como la precisión en la medida de una característica o un atributo, se puede calcular de diferentes maneras. El coeficiente </w:t>
      </w:r>
      <w:r>
        <w:rPr>
          <w:szCs w:val="20"/>
        </w:rPr>
        <w:t>α</w:t>
      </w:r>
      <w:r w:rsidR="00060CE7" w:rsidRPr="00060CE7">
        <w:rPr>
          <w:szCs w:val="20"/>
        </w:rPr>
        <w:t xml:space="preserve"> de Cronbach es uno de los habitualmente referenciados, y se puede utilizar en variables de escala (Rodríguez-Rodríguez, J., y Reguant-Álvarez, M., 2020). “Existen diversos procedimientos para calcular la confiabilidad de un instrumento de medición. Todos aplican fórmulas que producen coeficientes de confiabilidad” (Hernández-Sampieri et al., 2008, p. 288). </w:t>
      </w:r>
    </w:p>
    <w:p w14:paraId="38BD99CD" w14:textId="77777777" w:rsidR="00060CE7" w:rsidRPr="00060CE7" w:rsidRDefault="00060CE7" w:rsidP="000E6382">
      <w:pPr>
        <w:spacing w:line="360" w:lineRule="auto"/>
        <w:jc w:val="both"/>
        <w:rPr>
          <w:szCs w:val="20"/>
        </w:rPr>
      </w:pPr>
    </w:p>
    <w:p w14:paraId="30B4EE9C" w14:textId="68686B79" w:rsidR="00060CE7" w:rsidRDefault="00060CE7" w:rsidP="000E6382">
      <w:pPr>
        <w:spacing w:line="360" w:lineRule="auto"/>
        <w:jc w:val="both"/>
        <w:rPr>
          <w:szCs w:val="20"/>
        </w:rPr>
      </w:pPr>
      <w:r w:rsidRPr="00060CE7">
        <w:rPr>
          <w:szCs w:val="20"/>
        </w:rPr>
        <w:t xml:space="preserve">El criterio establecido y señalado por diferentes autores (Oviedo y Campo-Arias, 2005 y Barrios y Cosculluela, 2013 citado por Rodríguez-Rodríguez, J., y Reguant-Álvarez, M. 2020) es que un valor del </w:t>
      </w:r>
      <w:r w:rsidR="00F87CD8">
        <w:rPr>
          <w:szCs w:val="20"/>
        </w:rPr>
        <w:t>α</w:t>
      </w:r>
      <w:r w:rsidRPr="00060CE7">
        <w:rPr>
          <w:szCs w:val="20"/>
        </w:rPr>
        <w:t xml:space="preserve"> de Cronbach</w:t>
      </w:r>
      <w:r w:rsidR="007B09FC">
        <w:rPr>
          <w:szCs w:val="20"/>
        </w:rPr>
        <w:t xml:space="preserve"> y de ω de McDonald</w:t>
      </w:r>
      <w:r w:rsidRPr="00060CE7">
        <w:rPr>
          <w:szCs w:val="20"/>
        </w:rPr>
        <w:t>, entre 0.70 y 0.90, indica una buena consistencia interna para una escala unidimensional</w:t>
      </w:r>
      <w:r w:rsidR="009A3B80">
        <w:rPr>
          <w:szCs w:val="20"/>
        </w:rPr>
        <w:t>.</w:t>
      </w:r>
    </w:p>
    <w:p w14:paraId="3220D6D6" w14:textId="77777777" w:rsidR="005C1920" w:rsidRPr="005C1920" w:rsidRDefault="005C1920" w:rsidP="000E6382">
      <w:pPr>
        <w:spacing w:line="360" w:lineRule="auto"/>
        <w:rPr>
          <w:rFonts w:ascii="Arial" w:hAnsi="Arial" w:cs="Arial"/>
          <w:sz w:val="20"/>
          <w:szCs w:val="20"/>
        </w:rPr>
      </w:pPr>
    </w:p>
    <w:p w14:paraId="30DE962D" w14:textId="061E5AF9" w:rsidR="005C1920" w:rsidRPr="00B60952" w:rsidRDefault="00B60952" w:rsidP="000E6382">
      <w:pPr>
        <w:spacing w:line="360" w:lineRule="auto"/>
        <w:rPr>
          <w:b/>
          <w:color w:val="244061"/>
          <w:sz w:val="28"/>
        </w:rPr>
      </w:pPr>
      <w:r>
        <w:rPr>
          <w:b/>
          <w:color w:val="244061"/>
          <w:sz w:val="28"/>
        </w:rPr>
        <w:t>4</w:t>
      </w:r>
      <w:r w:rsidR="005C1920" w:rsidRPr="00B60952">
        <w:rPr>
          <w:b/>
          <w:color w:val="244061"/>
          <w:sz w:val="28"/>
        </w:rPr>
        <w:t>. Resultados</w:t>
      </w:r>
    </w:p>
    <w:p w14:paraId="68CCF2DC" w14:textId="5790118A" w:rsidR="00CE2D0B" w:rsidRPr="00CE2D0B" w:rsidRDefault="00CE2D0B" w:rsidP="000E6382">
      <w:pPr>
        <w:spacing w:line="360" w:lineRule="auto"/>
        <w:jc w:val="both"/>
        <w:rPr>
          <w:szCs w:val="20"/>
        </w:rPr>
      </w:pPr>
      <w:r w:rsidRPr="00CE2D0B">
        <w:rPr>
          <w:szCs w:val="20"/>
        </w:rPr>
        <w:t xml:space="preserve">La aplicación del cuestionario se realizó a 142 estudiantes; el 76.1% de los participantes tienen entre 18 y 23 años, </w:t>
      </w:r>
      <w:r>
        <w:rPr>
          <w:szCs w:val="20"/>
        </w:rPr>
        <w:t>33.1%</w:t>
      </w:r>
      <w:r w:rsidRPr="00CE2D0B">
        <w:rPr>
          <w:szCs w:val="20"/>
        </w:rPr>
        <w:t xml:space="preserve"> </w:t>
      </w:r>
      <w:r>
        <w:rPr>
          <w:szCs w:val="20"/>
        </w:rPr>
        <w:t xml:space="preserve">radican en Colombia </w:t>
      </w:r>
      <w:r w:rsidRPr="00CE2D0B">
        <w:rPr>
          <w:szCs w:val="20"/>
        </w:rPr>
        <w:t xml:space="preserve">y </w:t>
      </w:r>
      <w:r>
        <w:rPr>
          <w:szCs w:val="20"/>
        </w:rPr>
        <w:t>66.</w:t>
      </w:r>
      <w:r w:rsidRPr="00CE2D0B">
        <w:rPr>
          <w:szCs w:val="20"/>
        </w:rPr>
        <w:t>9</w:t>
      </w:r>
      <w:r>
        <w:rPr>
          <w:szCs w:val="20"/>
        </w:rPr>
        <w:t>% en México, 61.3%</w:t>
      </w:r>
      <w:r w:rsidRPr="00CE2D0B">
        <w:rPr>
          <w:szCs w:val="20"/>
        </w:rPr>
        <w:t xml:space="preserve"> son mujeres y </w:t>
      </w:r>
      <w:r>
        <w:rPr>
          <w:szCs w:val="20"/>
        </w:rPr>
        <w:t>38.7%</w:t>
      </w:r>
      <w:r w:rsidRPr="00CE2D0B">
        <w:rPr>
          <w:szCs w:val="20"/>
        </w:rPr>
        <w:t xml:space="preserve"> son hombres.</w:t>
      </w:r>
    </w:p>
    <w:p w14:paraId="4ED8DD3F" w14:textId="2A893025" w:rsidR="00CE2D0B" w:rsidRDefault="00CE2D0B" w:rsidP="000E6382">
      <w:pPr>
        <w:spacing w:line="360" w:lineRule="auto"/>
        <w:jc w:val="both"/>
        <w:rPr>
          <w:szCs w:val="20"/>
        </w:rPr>
      </w:pPr>
      <w:r w:rsidRPr="00CE2D0B">
        <w:rPr>
          <w:szCs w:val="20"/>
        </w:rPr>
        <w:t xml:space="preserve">Los datos de confiabilidad del instrumento se obtuvieron con el software </w:t>
      </w:r>
      <w:r>
        <w:rPr>
          <w:szCs w:val="20"/>
        </w:rPr>
        <w:t>j</w:t>
      </w:r>
      <w:r w:rsidRPr="00CE2D0B">
        <w:rPr>
          <w:szCs w:val="20"/>
        </w:rPr>
        <w:t>amovi</w:t>
      </w:r>
      <w:r>
        <w:rPr>
          <w:szCs w:val="20"/>
        </w:rPr>
        <w:t xml:space="preserve">, siendo un α de Cronbach de 0.852 y una ω de McDonald de 0.859, por lo que se considera que el instrumento aplicado es confiable </w:t>
      </w:r>
      <w:r w:rsidRPr="00CE2D0B">
        <w:rPr>
          <w:szCs w:val="20"/>
        </w:rPr>
        <w:t xml:space="preserve"> (</w:t>
      </w:r>
      <w:r>
        <w:rPr>
          <w:szCs w:val="20"/>
        </w:rPr>
        <w:t>Revelle, W., 2019</w:t>
      </w:r>
      <w:r w:rsidRPr="00CE2D0B">
        <w:rPr>
          <w:szCs w:val="20"/>
        </w:rPr>
        <w:t>, R Core Team, 2021 y The jamovi project, 2021).</w:t>
      </w:r>
    </w:p>
    <w:p w14:paraId="28FF48FC" w14:textId="0F04CCE2" w:rsidR="00CE2D0B" w:rsidRDefault="00CE2D0B" w:rsidP="000E6382">
      <w:pPr>
        <w:spacing w:line="360" w:lineRule="auto"/>
        <w:jc w:val="both"/>
        <w:rPr>
          <w:szCs w:val="20"/>
        </w:rPr>
      </w:pPr>
    </w:p>
    <w:p w14:paraId="3A93BC02" w14:textId="2082C90B" w:rsidR="00A76A65" w:rsidRPr="001F0CA7" w:rsidRDefault="001F0CA7" w:rsidP="000E6382">
      <w:pPr>
        <w:spacing w:line="360" w:lineRule="auto"/>
        <w:jc w:val="both"/>
        <w:rPr>
          <w:szCs w:val="20"/>
        </w:rPr>
      </w:pPr>
      <w:r>
        <w:rPr>
          <w:szCs w:val="20"/>
        </w:rPr>
        <w:t xml:space="preserve">En la </w:t>
      </w:r>
      <w:r w:rsidRPr="001F0CA7">
        <w:rPr>
          <w:b/>
          <w:szCs w:val="20"/>
        </w:rPr>
        <w:t xml:space="preserve">Tabla </w:t>
      </w:r>
      <w:r w:rsidR="00EB2A66">
        <w:rPr>
          <w:b/>
          <w:szCs w:val="20"/>
        </w:rPr>
        <w:t>2</w:t>
      </w:r>
      <w:r>
        <w:rPr>
          <w:b/>
          <w:szCs w:val="20"/>
        </w:rPr>
        <w:t xml:space="preserve">, </w:t>
      </w:r>
      <w:r>
        <w:rPr>
          <w:szCs w:val="20"/>
        </w:rPr>
        <w:t>se pueden observar las</w:t>
      </w:r>
      <w:r w:rsidRPr="001F0CA7">
        <w:rPr>
          <w:szCs w:val="20"/>
        </w:rPr>
        <w:t xml:space="preserve"> diferencias de medias </w:t>
      </w:r>
      <w:r w:rsidR="00287F24">
        <w:rPr>
          <w:szCs w:val="20"/>
        </w:rPr>
        <w:t xml:space="preserve">del </w:t>
      </w:r>
      <w:r w:rsidR="00287F24" w:rsidRPr="00287F24">
        <w:rPr>
          <w:szCs w:val="20"/>
        </w:rPr>
        <w:t xml:space="preserve">impacto en la empleabilidad </w:t>
      </w:r>
      <w:r w:rsidRPr="001F0CA7">
        <w:rPr>
          <w:szCs w:val="20"/>
        </w:rPr>
        <w:t>desde la perspectiva de género</w:t>
      </w:r>
      <w:r>
        <w:rPr>
          <w:szCs w:val="20"/>
        </w:rPr>
        <w:t xml:space="preserve">, donde la mayor diferencia entre ambos géneros estriba en el factor </w:t>
      </w:r>
      <w:r w:rsidRPr="001F0CA7">
        <w:rPr>
          <w:b/>
          <w:szCs w:val="20"/>
        </w:rPr>
        <w:t>IEG8</w:t>
      </w:r>
      <w:r>
        <w:rPr>
          <w:b/>
          <w:szCs w:val="20"/>
        </w:rPr>
        <w:t>;</w:t>
      </w:r>
      <w:r w:rsidRPr="001F0CA7">
        <w:rPr>
          <w:szCs w:val="20"/>
        </w:rPr>
        <w:t xml:space="preserve"> </w:t>
      </w:r>
      <w:r>
        <w:rPr>
          <w:szCs w:val="20"/>
        </w:rPr>
        <w:t>“</w:t>
      </w:r>
      <w:r w:rsidRPr="00A55A2D">
        <w:rPr>
          <w:i/>
          <w:szCs w:val="20"/>
        </w:rPr>
        <w:t>Conciencia y expresión culturales</w:t>
      </w:r>
      <w:r>
        <w:rPr>
          <w:szCs w:val="20"/>
        </w:rPr>
        <w:t>”.</w:t>
      </w:r>
    </w:p>
    <w:p w14:paraId="73F8CB18" w14:textId="647F558E" w:rsidR="0069627F" w:rsidRDefault="0069627F">
      <w:pPr>
        <w:rPr>
          <w:b/>
        </w:rPr>
      </w:pPr>
    </w:p>
    <w:p w14:paraId="1E081A80" w14:textId="77EA562C" w:rsidR="00A76A65" w:rsidRPr="001F0CA7" w:rsidRDefault="00A76A65" w:rsidP="000E6382">
      <w:pPr>
        <w:spacing w:line="360" w:lineRule="auto"/>
        <w:rPr>
          <w:b/>
        </w:rPr>
      </w:pPr>
      <w:r w:rsidRPr="001F0CA7">
        <w:rPr>
          <w:b/>
        </w:rPr>
        <w:t xml:space="preserve">Tabla </w:t>
      </w:r>
      <w:r w:rsidR="00EB2A66">
        <w:rPr>
          <w:b/>
        </w:rPr>
        <w:t>2</w:t>
      </w:r>
    </w:p>
    <w:p w14:paraId="05BE01E6" w14:textId="468C0F80" w:rsidR="005C1D44" w:rsidRDefault="005C1D44" w:rsidP="000E6382">
      <w:pPr>
        <w:spacing w:line="360" w:lineRule="auto"/>
        <w:rPr>
          <w:i/>
        </w:rPr>
      </w:pPr>
      <w:r>
        <w:rPr>
          <w:i/>
        </w:rPr>
        <w:t>Diferencia de medias desde perspectiva de género</w:t>
      </w:r>
    </w:p>
    <w:tbl>
      <w:tblPr>
        <w:tblW w:w="8222" w:type="dxa"/>
        <w:tblBorders>
          <w:top w:val="nil"/>
          <w:left w:val="nil"/>
          <w:bottom w:val="nil"/>
          <w:right w:val="nil"/>
          <w:insideH w:val="nil"/>
          <w:insideV w:val="nil"/>
        </w:tblBorders>
        <w:tblLayout w:type="fixed"/>
        <w:tblLook w:val="0400" w:firstRow="0" w:lastRow="0" w:firstColumn="0" w:lastColumn="0" w:noHBand="0" w:noVBand="1"/>
      </w:tblPr>
      <w:tblGrid>
        <w:gridCol w:w="1276"/>
        <w:gridCol w:w="3686"/>
        <w:gridCol w:w="1135"/>
        <w:gridCol w:w="991"/>
        <w:gridCol w:w="1134"/>
      </w:tblGrid>
      <w:tr w:rsidR="005C1D44" w:rsidRPr="001C1E19" w14:paraId="3C4FD13A" w14:textId="77777777" w:rsidTr="00990AFB">
        <w:tc>
          <w:tcPr>
            <w:tcW w:w="1276" w:type="dxa"/>
            <w:tcBorders>
              <w:top w:val="single" w:sz="4" w:space="0" w:color="000000"/>
              <w:bottom w:val="single" w:sz="4" w:space="0" w:color="000000"/>
            </w:tcBorders>
          </w:tcPr>
          <w:p w14:paraId="655B839C" w14:textId="77777777" w:rsidR="005C1D44" w:rsidRPr="00E2774F" w:rsidRDefault="005C1D44" w:rsidP="000E6382">
            <w:pPr>
              <w:keepNext/>
              <w:spacing w:line="360" w:lineRule="auto"/>
              <w:jc w:val="center"/>
              <w:rPr>
                <w:b/>
                <w:color w:val="000000"/>
                <w:sz w:val="18"/>
                <w:szCs w:val="18"/>
              </w:rPr>
            </w:pPr>
            <w:r w:rsidRPr="00E2774F">
              <w:rPr>
                <w:b/>
                <w:sz w:val="18"/>
                <w:szCs w:val="18"/>
              </w:rPr>
              <w:t>Factor</w:t>
            </w:r>
          </w:p>
        </w:tc>
        <w:tc>
          <w:tcPr>
            <w:tcW w:w="3686" w:type="dxa"/>
            <w:tcBorders>
              <w:top w:val="single" w:sz="4" w:space="0" w:color="000000"/>
              <w:bottom w:val="single" w:sz="4" w:space="0" w:color="000000"/>
            </w:tcBorders>
          </w:tcPr>
          <w:p w14:paraId="02D4D436" w14:textId="77777777" w:rsidR="005C1D44" w:rsidRPr="00E2774F" w:rsidRDefault="005C1D44" w:rsidP="000E6382">
            <w:pPr>
              <w:keepNext/>
              <w:spacing w:line="360" w:lineRule="auto"/>
              <w:jc w:val="center"/>
              <w:rPr>
                <w:b/>
                <w:color w:val="000000"/>
                <w:sz w:val="18"/>
                <w:szCs w:val="18"/>
              </w:rPr>
            </w:pPr>
            <w:r w:rsidRPr="00E2774F">
              <w:rPr>
                <w:b/>
                <w:sz w:val="18"/>
                <w:szCs w:val="18"/>
              </w:rPr>
              <w:t>Indicador</w:t>
            </w:r>
          </w:p>
        </w:tc>
        <w:tc>
          <w:tcPr>
            <w:tcW w:w="1135" w:type="dxa"/>
            <w:tcBorders>
              <w:top w:val="single" w:sz="4" w:space="0" w:color="000000"/>
              <w:bottom w:val="single" w:sz="4" w:space="0" w:color="000000"/>
            </w:tcBorders>
          </w:tcPr>
          <w:p w14:paraId="39DDDB9B" w14:textId="77777777" w:rsidR="005C1D44" w:rsidRPr="00E2774F" w:rsidRDefault="005C1D44" w:rsidP="000E6382">
            <w:pPr>
              <w:keepNext/>
              <w:spacing w:line="360" w:lineRule="auto"/>
              <w:jc w:val="center"/>
              <w:rPr>
                <w:b/>
                <w:color w:val="000000"/>
                <w:sz w:val="18"/>
                <w:szCs w:val="18"/>
              </w:rPr>
            </w:pPr>
            <w:r w:rsidRPr="00E2774F">
              <w:rPr>
                <w:b/>
                <w:sz w:val="18"/>
                <w:szCs w:val="18"/>
              </w:rPr>
              <w:t xml:space="preserve">Media </w:t>
            </w:r>
            <w:r>
              <w:rPr>
                <w:b/>
                <w:sz w:val="18"/>
                <w:szCs w:val="18"/>
              </w:rPr>
              <w:t>Mujeres</w:t>
            </w:r>
          </w:p>
        </w:tc>
        <w:tc>
          <w:tcPr>
            <w:tcW w:w="991" w:type="dxa"/>
            <w:tcBorders>
              <w:top w:val="single" w:sz="4" w:space="0" w:color="000000"/>
              <w:bottom w:val="single" w:sz="4" w:space="0" w:color="000000"/>
            </w:tcBorders>
          </w:tcPr>
          <w:p w14:paraId="0F3EA7CC" w14:textId="77777777" w:rsidR="005C1D44" w:rsidRPr="00E2774F" w:rsidRDefault="005C1D44" w:rsidP="000E6382">
            <w:pPr>
              <w:keepNext/>
              <w:spacing w:line="360" w:lineRule="auto"/>
              <w:jc w:val="center"/>
              <w:rPr>
                <w:b/>
                <w:color w:val="000000"/>
                <w:sz w:val="18"/>
                <w:szCs w:val="18"/>
              </w:rPr>
            </w:pPr>
            <w:r w:rsidRPr="00E2774F">
              <w:rPr>
                <w:b/>
                <w:sz w:val="18"/>
                <w:szCs w:val="18"/>
              </w:rPr>
              <w:t xml:space="preserve">Media </w:t>
            </w:r>
            <w:r>
              <w:rPr>
                <w:b/>
                <w:sz w:val="18"/>
                <w:szCs w:val="18"/>
              </w:rPr>
              <w:t>Hombres</w:t>
            </w:r>
          </w:p>
        </w:tc>
        <w:tc>
          <w:tcPr>
            <w:tcW w:w="1134" w:type="dxa"/>
            <w:tcBorders>
              <w:top w:val="single" w:sz="4" w:space="0" w:color="000000"/>
              <w:bottom w:val="single" w:sz="4" w:space="0" w:color="000000"/>
            </w:tcBorders>
          </w:tcPr>
          <w:p w14:paraId="71B80975" w14:textId="77777777" w:rsidR="005C1D44" w:rsidRPr="00E2774F" w:rsidRDefault="005C1D44" w:rsidP="000E6382">
            <w:pPr>
              <w:keepNext/>
              <w:spacing w:line="360" w:lineRule="auto"/>
              <w:jc w:val="center"/>
              <w:rPr>
                <w:b/>
                <w:sz w:val="18"/>
                <w:szCs w:val="18"/>
              </w:rPr>
            </w:pPr>
            <w:r>
              <w:rPr>
                <w:b/>
                <w:sz w:val="18"/>
                <w:szCs w:val="18"/>
              </w:rPr>
              <w:t>Diferencia de medias</w:t>
            </w:r>
          </w:p>
        </w:tc>
      </w:tr>
      <w:tr w:rsidR="005C1D44" w:rsidRPr="003402D7" w14:paraId="0281281A" w14:textId="77777777" w:rsidTr="00990AFB">
        <w:tc>
          <w:tcPr>
            <w:tcW w:w="1276" w:type="dxa"/>
            <w:vMerge w:val="restart"/>
            <w:tcBorders>
              <w:top w:val="nil"/>
            </w:tcBorders>
          </w:tcPr>
          <w:p w14:paraId="5D1A847F" w14:textId="5B08D47C" w:rsidR="005C1D44" w:rsidRPr="003402D7" w:rsidRDefault="005C1D44" w:rsidP="000E6382">
            <w:pPr>
              <w:keepNext/>
              <w:spacing w:line="360" w:lineRule="auto"/>
              <w:rPr>
                <w:color w:val="000000"/>
                <w:sz w:val="18"/>
                <w:szCs w:val="18"/>
              </w:rPr>
            </w:pPr>
            <w:r w:rsidRPr="003402D7">
              <w:rPr>
                <w:color w:val="000000"/>
                <w:sz w:val="18"/>
                <w:szCs w:val="18"/>
              </w:rPr>
              <w:t xml:space="preserve">Factor </w:t>
            </w:r>
            <w:r w:rsidR="00D22DBD">
              <w:rPr>
                <w:color w:val="000000"/>
                <w:sz w:val="18"/>
                <w:szCs w:val="18"/>
              </w:rPr>
              <w:t>1</w:t>
            </w:r>
            <w:r w:rsidRPr="003402D7">
              <w:rPr>
                <w:color w:val="000000"/>
                <w:sz w:val="18"/>
                <w:szCs w:val="18"/>
              </w:rPr>
              <w:t xml:space="preserve">: </w:t>
            </w:r>
          </w:p>
          <w:p w14:paraId="5D59E197" w14:textId="77777777" w:rsidR="005C1D44" w:rsidRPr="003402D7" w:rsidRDefault="005C1D44" w:rsidP="000E6382">
            <w:pPr>
              <w:keepNext/>
              <w:spacing w:line="360" w:lineRule="auto"/>
              <w:rPr>
                <w:color w:val="000000"/>
                <w:sz w:val="18"/>
                <w:szCs w:val="18"/>
              </w:rPr>
            </w:pPr>
            <w:r>
              <w:rPr>
                <w:color w:val="000000"/>
                <w:sz w:val="18"/>
                <w:szCs w:val="18"/>
              </w:rPr>
              <w:t xml:space="preserve">Género </w:t>
            </w:r>
            <w:r w:rsidRPr="003402D7">
              <w:rPr>
                <w:color w:val="000000"/>
                <w:sz w:val="18"/>
                <w:szCs w:val="18"/>
              </w:rPr>
              <w:t>(</w:t>
            </w:r>
            <w:r>
              <w:rPr>
                <w:color w:val="000000"/>
                <w:sz w:val="18"/>
                <w:szCs w:val="18"/>
              </w:rPr>
              <w:t>G</w:t>
            </w:r>
            <w:r w:rsidRPr="003402D7">
              <w:rPr>
                <w:color w:val="000000"/>
                <w:sz w:val="18"/>
                <w:szCs w:val="18"/>
              </w:rPr>
              <w:t>)</w:t>
            </w:r>
          </w:p>
        </w:tc>
        <w:tc>
          <w:tcPr>
            <w:tcW w:w="3686" w:type="dxa"/>
            <w:tcBorders>
              <w:top w:val="nil"/>
            </w:tcBorders>
          </w:tcPr>
          <w:p w14:paraId="5C303572" w14:textId="77777777" w:rsidR="005C1D44" w:rsidRPr="003402D7" w:rsidRDefault="005C1D44" w:rsidP="000E6382">
            <w:pPr>
              <w:keepNext/>
              <w:spacing w:line="360" w:lineRule="auto"/>
              <w:rPr>
                <w:color w:val="000000"/>
                <w:sz w:val="18"/>
                <w:szCs w:val="18"/>
              </w:rPr>
            </w:pPr>
            <w:r w:rsidRPr="003402D7">
              <w:rPr>
                <w:sz w:val="18"/>
                <w:szCs w:val="18"/>
              </w:rPr>
              <w:t>Global</w:t>
            </w:r>
          </w:p>
        </w:tc>
        <w:tc>
          <w:tcPr>
            <w:tcW w:w="1135" w:type="dxa"/>
            <w:tcBorders>
              <w:top w:val="nil"/>
            </w:tcBorders>
          </w:tcPr>
          <w:p w14:paraId="407F3D37" w14:textId="77777777" w:rsidR="005C1D44" w:rsidRPr="00DE75D1" w:rsidRDefault="005C1D44" w:rsidP="000E6382">
            <w:pPr>
              <w:spacing w:line="360" w:lineRule="auto"/>
              <w:jc w:val="center"/>
              <w:rPr>
                <w:sz w:val="18"/>
                <w:szCs w:val="18"/>
              </w:rPr>
            </w:pPr>
            <w:r w:rsidRPr="00DE75D1">
              <w:rPr>
                <w:sz w:val="18"/>
                <w:szCs w:val="18"/>
              </w:rPr>
              <w:t>4.11</w:t>
            </w:r>
          </w:p>
        </w:tc>
        <w:tc>
          <w:tcPr>
            <w:tcW w:w="991" w:type="dxa"/>
            <w:tcBorders>
              <w:top w:val="nil"/>
            </w:tcBorders>
          </w:tcPr>
          <w:p w14:paraId="6C5C48E9" w14:textId="77777777" w:rsidR="005C1D44" w:rsidRPr="00DE75D1" w:rsidRDefault="005C1D44" w:rsidP="000E6382">
            <w:pPr>
              <w:spacing w:line="360" w:lineRule="auto"/>
              <w:jc w:val="center"/>
              <w:rPr>
                <w:sz w:val="18"/>
                <w:szCs w:val="18"/>
              </w:rPr>
            </w:pPr>
            <w:r w:rsidRPr="00DE75D1">
              <w:rPr>
                <w:sz w:val="18"/>
                <w:szCs w:val="18"/>
              </w:rPr>
              <w:t>3.83</w:t>
            </w:r>
          </w:p>
        </w:tc>
        <w:tc>
          <w:tcPr>
            <w:tcW w:w="1134" w:type="dxa"/>
            <w:tcBorders>
              <w:top w:val="nil"/>
            </w:tcBorders>
          </w:tcPr>
          <w:p w14:paraId="2B65FBFF" w14:textId="77777777" w:rsidR="005C1D44" w:rsidRPr="00DE75D1" w:rsidRDefault="005C1D44" w:rsidP="000E6382">
            <w:pPr>
              <w:spacing w:line="360" w:lineRule="auto"/>
              <w:jc w:val="center"/>
              <w:rPr>
                <w:sz w:val="18"/>
                <w:szCs w:val="18"/>
              </w:rPr>
            </w:pPr>
            <w:r w:rsidRPr="00DE75D1">
              <w:rPr>
                <w:sz w:val="18"/>
                <w:szCs w:val="18"/>
              </w:rPr>
              <w:t>0.28</w:t>
            </w:r>
          </w:p>
        </w:tc>
      </w:tr>
      <w:tr w:rsidR="005C1D44" w:rsidRPr="003402D7" w14:paraId="13A15939" w14:textId="77777777" w:rsidTr="00990AFB">
        <w:tc>
          <w:tcPr>
            <w:tcW w:w="1276" w:type="dxa"/>
            <w:vMerge/>
          </w:tcPr>
          <w:p w14:paraId="2FEC2558" w14:textId="77777777" w:rsidR="005C1D44" w:rsidRPr="003402D7" w:rsidRDefault="005C1D44" w:rsidP="000E6382">
            <w:pPr>
              <w:keepNext/>
              <w:spacing w:line="360" w:lineRule="auto"/>
              <w:rPr>
                <w:color w:val="000000"/>
                <w:sz w:val="18"/>
                <w:szCs w:val="18"/>
              </w:rPr>
            </w:pPr>
          </w:p>
        </w:tc>
        <w:tc>
          <w:tcPr>
            <w:tcW w:w="3686" w:type="dxa"/>
            <w:tcBorders>
              <w:top w:val="nil"/>
            </w:tcBorders>
          </w:tcPr>
          <w:p w14:paraId="116167C8" w14:textId="77777777" w:rsidR="005C1D44" w:rsidRPr="003402D7" w:rsidRDefault="005C1D44" w:rsidP="000E6382">
            <w:pPr>
              <w:keepNext/>
              <w:spacing w:line="360" w:lineRule="auto"/>
              <w:rPr>
                <w:color w:val="000000"/>
                <w:sz w:val="18"/>
                <w:szCs w:val="18"/>
              </w:rPr>
            </w:pPr>
            <w:r w:rsidRPr="003402D7">
              <w:rPr>
                <w:b/>
                <w:sz w:val="18"/>
                <w:szCs w:val="18"/>
              </w:rPr>
              <w:t>IE</w:t>
            </w:r>
            <w:r>
              <w:rPr>
                <w:b/>
                <w:sz w:val="18"/>
                <w:szCs w:val="18"/>
              </w:rPr>
              <w:t>G</w:t>
            </w:r>
            <w:r w:rsidRPr="003402D7">
              <w:rPr>
                <w:b/>
                <w:sz w:val="18"/>
                <w:szCs w:val="18"/>
              </w:rPr>
              <w:t>1</w:t>
            </w:r>
            <w:r w:rsidRPr="003402D7">
              <w:rPr>
                <w:sz w:val="18"/>
                <w:szCs w:val="18"/>
              </w:rPr>
              <w:t xml:space="preserve"> Lectoescritura</w:t>
            </w:r>
          </w:p>
        </w:tc>
        <w:tc>
          <w:tcPr>
            <w:tcW w:w="1135" w:type="dxa"/>
            <w:tcBorders>
              <w:top w:val="nil"/>
            </w:tcBorders>
          </w:tcPr>
          <w:p w14:paraId="60D720B9" w14:textId="77777777" w:rsidR="005C1D44" w:rsidRPr="00DE75D1" w:rsidRDefault="005C1D44" w:rsidP="000E6382">
            <w:pPr>
              <w:spacing w:line="360" w:lineRule="auto"/>
              <w:jc w:val="center"/>
              <w:rPr>
                <w:b/>
                <w:sz w:val="18"/>
                <w:szCs w:val="18"/>
              </w:rPr>
            </w:pPr>
            <w:r w:rsidRPr="00DE75D1">
              <w:rPr>
                <w:b/>
                <w:sz w:val="18"/>
                <w:szCs w:val="18"/>
              </w:rPr>
              <w:t>3.93</w:t>
            </w:r>
          </w:p>
        </w:tc>
        <w:tc>
          <w:tcPr>
            <w:tcW w:w="991" w:type="dxa"/>
            <w:tcBorders>
              <w:top w:val="nil"/>
            </w:tcBorders>
          </w:tcPr>
          <w:p w14:paraId="380F3478" w14:textId="77777777" w:rsidR="005C1D44" w:rsidRPr="00DE75D1" w:rsidRDefault="005C1D44" w:rsidP="000E6382">
            <w:pPr>
              <w:spacing w:line="360" w:lineRule="auto"/>
              <w:jc w:val="center"/>
              <w:rPr>
                <w:sz w:val="18"/>
                <w:szCs w:val="18"/>
              </w:rPr>
            </w:pPr>
            <w:r w:rsidRPr="00DE75D1">
              <w:rPr>
                <w:sz w:val="18"/>
                <w:szCs w:val="18"/>
              </w:rPr>
              <w:t>3.82</w:t>
            </w:r>
          </w:p>
        </w:tc>
        <w:tc>
          <w:tcPr>
            <w:tcW w:w="1134" w:type="dxa"/>
            <w:tcBorders>
              <w:top w:val="nil"/>
            </w:tcBorders>
          </w:tcPr>
          <w:p w14:paraId="3A5CC293" w14:textId="77777777" w:rsidR="005C1D44" w:rsidRPr="00DE75D1" w:rsidRDefault="005C1D44" w:rsidP="000E6382">
            <w:pPr>
              <w:spacing w:line="360" w:lineRule="auto"/>
              <w:jc w:val="center"/>
              <w:rPr>
                <w:sz w:val="18"/>
                <w:szCs w:val="18"/>
              </w:rPr>
            </w:pPr>
            <w:r w:rsidRPr="00DE75D1">
              <w:rPr>
                <w:sz w:val="18"/>
                <w:szCs w:val="18"/>
              </w:rPr>
              <w:t>0.11</w:t>
            </w:r>
          </w:p>
        </w:tc>
      </w:tr>
      <w:tr w:rsidR="005C1D44" w:rsidRPr="003402D7" w14:paraId="04BD0D22" w14:textId="77777777" w:rsidTr="00990AFB">
        <w:tc>
          <w:tcPr>
            <w:tcW w:w="1276" w:type="dxa"/>
            <w:vMerge/>
          </w:tcPr>
          <w:p w14:paraId="2FE88EB0" w14:textId="77777777" w:rsidR="005C1D44" w:rsidRPr="003402D7" w:rsidRDefault="005C1D44" w:rsidP="000E6382">
            <w:pPr>
              <w:keepNext/>
              <w:spacing w:line="360" w:lineRule="auto"/>
              <w:rPr>
                <w:color w:val="000000"/>
                <w:sz w:val="18"/>
                <w:szCs w:val="18"/>
              </w:rPr>
            </w:pPr>
          </w:p>
        </w:tc>
        <w:tc>
          <w:tcPr>
            <w:tcW w:w="3686" w:type="dxa"/>
            <w:tcBorders>
              <w:top w:val="nil"/>
            </w:tcBorders>
          </w:tcPr>
          <w:p w14:paraId="07B6CB82" w14:textId="77777777" w:rsidR="005C1D44" w:rsidRPr="003402D7" w:rsidRDefault="005C1D44" w:rsidP="000E6382">
            <w:pPr>
              <w:keepNext/>
              <w:spacing w:line="360" w:lineRule="auto"/>
              <w:rPr>
                <w:b/>
                <w:bCs/>
                <w:sz w:val="18"/>
                <w:szCs w:val="18"/>
              </w:rPr>
            </w:pPr>
            <w:r>
              <w:rPr>
                <w:b/>
                <w:sz w:val="18"/>
                <w:szCs w:val="18"/>
              </w:rPr>
              <w:t>IEG</w:t>
            </w:r>
            <w:r w:rsidRPr="003402D7">
              <w:rPr>
                <w:b/>
                <w:sz w:val="18"/>
                <w:szCs w:val="18"/>
              </w:rPr>
              <w:t>2</w:t>
            </w:r>
            <w:r w:rsidRPr="003402D7">
              <w:rPr>
                <w:sz w:val="18"/>
                <w:szCs w:val="18"/>
              </w:rPr>
              <w:t xml:space="preserve"> Multilingüe</w:t>
            </w:r>
          </w:p>
        </w:tc>
        <w:tc>
          <w:tcPr>
            <w:tcW w:w="1135" w:type="dxa"/>
            <w:tcBorders>
              <w:top w:val="nil"/>
            </w:tcBorders>
          </w:tcPr>
          <w:p w14:paraId="0AA9FE57" w14:textId="77777777" w:rsidR="005C1D44" w:rsidRPr="00DE75D1" w:rsidRDefault="005C1D44" w:rsidP="000E6382">
            <w:pPr>
              <w:spacing w:line="360" w:lineRule="auto"/>
              <w:jc w:val="center"/>
              <w:rPr>
                <w:sz w:val="18"/>
                <w:szCs w:val="18"/>
              </w:rPr>
            </w:pPr>
            <w:r w:rsidRPr="00DE75D1">
              <w:rPr>
                <w:sz w:val="18"/>
                <w:szCs w:val="18"/>
              </w:rPr>
              <w:t>4.00</w:t>
            </w:r>
          </w:p>
        </w:tc>
        <w:tc>
          <w:tcPr>
            <w:tcW w:w="991" w:type="dxa"/>
            <w:tcBorders>
              <w:top w:val="nil"/>
            </w:tcBorders>
          </w:tcPr>
          <w:p w14:paraId="368F075A" w14:textId="77777777" w:rsidR="005C1D44" w:rsidRPr="00DE75D1" w:rsidRDefault="005C1D44" w:rsidP="000E6382">
            <w:pPr>
              <w:spacing w:line="360" w:lineRule="auto"/>
              <w:jc w:val="center"/>
              <w:rPr>
                <w:sz w:val="18"/>
                <w:szCs w:val="18"/>
              </w:rPr>
            </w:pPr>
            <w:r w:rsidRPr="00DE75D1">
              <w:rPr>
                <w:sz w:val="18"/>
                <w:szCs w:val="18"/>
              </w:rPr>
              <w:t>3.78</w:t>
            </w:r>
          </w:p>
        </w:tc>
        <w:tc>
          <w:tcPr>
            <w:tcW w:w="1134" w:type="dxa"/>
            <w:tcBorders>
              <w:top w:val="nil"/>
            </w:tcBorders>
          </w:tcPr>
          <w:p w14:paraId="2819E6EE" w14:textId="77777777" w:rsidR="005C1D44" w:rsidRPr="00DE75D1" w:rsidRDefault="005C1D44" w:rsidP="000E6382">
            <w:pPr>
              <w:spacing w:line="360" w:lineRule="auto"/>
              <w:jc w:val="center"/>
              <w:rPr>
                <w:sz w:val="18"/>
                <w:szCs w:val="18"/>
              </w:rPr>
            </w:pPr>
            <w:r w:rsidRPr="00DE75D1">
              <w:rPr>
                <w:sz w:val="18"/>
                <w:szCs w:val="18"/>
              </w:rPr>
              <w:t>0.22</w:t>
            </w:r>
          </w:p>
        </w:tc>
      </w:tr>
      <w:tr w:rsidR="005C1D44" w:rsidRPr="003402D7" w14:paraId="729756EC" w14:textId="77777777" w:rsidTr="00990AFB">
        <w:tc>
          <w:tcPr>
            <w:tcW w:w="1276" w:type="dxa"/>
            <w:vMerge/>
          </w:tcPr>
          <w:p w14:paraId="63AD8E91" w14:textId="77777777" w:rsidR="005C1D44" w:rsidRPr="003402D7" w:rsidRDefault="005C1D44" w:rsidP="000E6382">
            <w:pPr>
              <w:keepNext/>
              <w:spacing w:line="360" w:lineRule="auto"/>
              <w:rPr>
                <w:color w:val="000000"/>
                <w:sz w:val="18"/>
                <w:szCs w:val="18"/>
              </w:rPr>
            </w:pPr>
          </w:p>
        </w:tc>
        <w:tc>
          <w:tcPr>
            <w:tcW w:w="3686" w:type="dxa"/>
            <w:tcBorders>
              <w:top w:val="nil"/>
            </w:tcBorders>
          </w:tcPr>
          <w:p w14:paraId="144339E1" w14:textId="17E1A557" w:rsidR="005C1D44" w:rsidRPr="003402D7" w:rsidRDefault="005C1D44" w:rsidP="000E6382">
            <w:pPr>
              <w:keepNext/>
              <w:spacing w:line="360" w:lineRule="auto"/>
              <w:rPr>
                <w:b/>
                <w:bCs/>
                <w:sz w:val="18"/>
                <w:szCs w:val="18"/>
              </w:rPr>
            </w:pPr>
            <w:r>
              <w:rPr>
                <w:b/>
                <w:sz w:val="18"/>
                <w:szCs w:val="18"/>
              </w:rPr>
              <w:t>IEG</w:t>
            </w:r>
            <w:r w:rsidRPr="003402D7">
              <w:rPr>
                <w:b/>
                <w:sz w:val="18"/>
                <w:szCs w:val="18"/>
              </w:rPr>
              <w:t>3</w:t>
            </w:r>
            <w:r w:rsidRPr="003402D7">
              <w:rPr>
                <w:sz w:val="18"/>
                <w:szCs w:val="18"/>
              </w:rPr>
              <w:t xml:space="preserve"> Matemática y competencia en c</w:t>
            </w:r>
            <w:r>
              <w:rPr>
                <w:sz w:val="18"/>
                <w:szCs w:val="18"/>
              </w:rPr>
              <w:t>iencia, tecnología e ingeniería</w:t>
            </w:r>
          </w:p>
        </w:tc>
        <w:tc>
          <w:tcPr>
            <w:tcW w:w="1135" w:type="dxa"/>
            <w:tcBorders>
              <w:top w:val="nil"/>
            </w:tcBorders>
          </w:tcPr>
          <w:p w14:paraId="7210211C" w14:textId="77777777" w:rsidR="005C1D44" w:rsidRPr="00DE75D1" w:rsidRDefault="005C1D44" w:rsidP="000E6382">
            <w:pPr>
              <w:spacing w:line="360" w:lineRule="auto"/>
              <w:jc w:val="center"/>
              <w:rPr>
                <w:sz w:val="18"/>
                <w:szCs w:val="18"/>
              </w:rPr>
            </w:pPr>
            <w:r w:rsidRPr="00DE75D1">
              <w:rPr>
                <w:sz w:val="18"/>
                <w:szCs w:val="18"/>
              </w:rPr>
              <w:t>4.11</w:t>
            </w:r>
          </w:p>
        </w:tc>
        <w:tc>
          <w:tcPr>
            <w:tcW w:w="991" w:type="dxa"/>
            <w:tcBorders>
              <w:top w:val="nil"/>
            </w:tcBorders>
          </w:tcPr>
          <w:p w14:paraId="6FD32E19" w14:textId="77777777" w:rsidR="005C1D44" w:rsidRPr="00DE75D1" w:rsidRDefault="005C1D44" w:rsidP="000E6382">
            <w:pPr>
              <w:spacing w:line="360" w:lineRule="auto"/>
              <w:jc w:val="center"/>
              <w:rPr>
                <w:sz w:val="18"/>
                <w:szCs w:val="18"/>
              </w:rPr>
            </w:pPr>
            <w:r w:rsidRPr="00DE75D1">
              <w:rPr>
                <w:sz w:val="18"/>
                <w:szCs w:val="18"/>
              </w:rPr>
              <w:t>3.78</w:t>
            </w:r>
          </w:p>
        </w:tc>
        <w:tc>
          <w:tcPr>
            <w:tcW w:w="1134" w:type="dxa"/>
            <w:tcBorders>
              <w:top w:val="nil"/>
            </w:tcBorders>
          </w:tcPr>
          <w:p w14:paraId="139C69E6" w14:textId="77777777" w:rsidR="005C1D44" w:rsidRPr="00DE75D1" w:rsidRDefault="005C1D44" w:rsidP="000E6382">
            <w:pPr>
              <w:spacing w:line="360" w:lineRule="auto"/>
              <w:jc w:val="center"/>
              <w:rPr>
                <w:sz w:val="18"/>
                <w:szCs w:val="18"/>
              </w:rPr>
            </w:pPr>
            <w:r w:rsidRPr="00DE75D1">
              <w:rPr>
                <w:sz w:val="18"/>
                <w:szCs w:val="18"/>
              </w:rPr>
              <w:t>0.33</w:t>
            </w:r>
          </w:p>
        </w:tc>
      </w:tr>
      <w:tr w:rsidR="005C1D44" w:rsidRPr="003402D7" w14:paraId="0A7F15FA" w14:textId="77777777" w:rsidTr="00990AFB">
        <w:tc>
          <w:tcPr>
            <w:tcW w:w="1276" w:type="dxa"/>
            <w:vMerge/>
          </w:tcPr>
          <w:p w14:paraId="32EE88AE" w14:textId="77777777" w:rsidR="005C1D44" w:rsidRPr="003402D7" w:rsidRDefault="005C1D44" w:rsidP="000E6382">
            <w:pPr>
              <w:keepNext/>
              <w:spacing w:line="360" w:lineRule="auto"/>
              <w:rPr>
                <w:color w:val="000000"/>
                <w:sz w:val="18"/>
                <w:szCs w:val="18"/>
              </w:rPr>
            </w:pPr>
          </w:p>
        </w:tc>
        <w:tc>
          <w:tcPr>
            <w:tcW w:w="3686" w:type="dxa"/>
            <w:tcBorders>
              <w:top w:val="nil"/>
            </w:tcBorders>
          </w:tcPr>
          <w:p w14:paraId="03FE5940" w14:textId="77777777" w:rsidR="005C1D44" w:rsidRPr="003402D7" w:rsidRDefault="005C1D44" w:rsidP="000E6382">
            <w:pPr>
              <w:keepNext/>
              <w:spacing w:line="360" w:lineRule="auto"/>
              <w:rPr>
                <w:b/>
                <w:bCs/>
                <w:sz w:val="18"/>
                <w:szCs w:val="18"/>
              </w:rPr>
            </w:pPr>
            <w:r w:rsidRPr="003402D7">
              <w:rPr>
                <w:b/>
                <w:sz w:val="18"/>
                <w:szCs w:val="18"/>
              </w:rPr>
              <w:t>IE</w:t>
            </w:r>
            <w:r>
              <w:rPr>
                <w:b/>
                <w:sz w:val="18"/>
                <w:szCs w:val="18"/>
              </w:rPr>
              <w:t>G</w:t>
            </w:r>
            <w:r w:rsidRPr="003402D7">
              <w:rPr>
                <w:b/>
                <w:sz w:val="18"/>
                <w:szCs w:val="18"/>
              </w:rPr>
              <w:t>4</w:t>
            </w:r>
            <w:r w:rsidRPr="003402D7">
              <w:rPr>
                <w:sz w:val="18"/>
                <w:szCs w:val="18"/>
              </w:rPr>
              <w:t xml:space="preserve"> Digital</w:t>
            </w:r>
          </w:p>
        </w:tc>
        <w:tc>
          <w:tcPr>
            <w:tcW w:w="1135" w:type="dxa"/>
            <w:tcBorders>
              <w:top w:val="nil"/>
            </w:tcBorders>
          </w:tcPr>
          <w:p w14:paraId="4FB29E27" w14:textId="77777777" w:rsidR="005C1D44" w:rsidRPr="00DE75D1" w:rsidRDefault="005C1D44" w:rsidP="000E6382">
            <w:pPr>
              <w:spacing w:line="360" w:lineRule="auto"/>
              <w:jc w:val="center"/>
              <w:rPr>
                <w:b/>
                <w:sz w:val="18"/>
                <w:szCs w:val="18"/>
              </w:rPr>
            </w:pPr>
            <w:r w:rsidRPr="00DE75D1">
              <w:rPr>
                <w:sz w:val="18"/>
                <w:szCs w:val="18"/>
              </w:rPr>
              <w:t>4.33</w:t>
            </w:r>
          </w:p>
        </w:tc>
        <w:tc>
          <w:tcPr>
            <w:tcW w:w="991" w:type="dxa"/>
            <w:tcBorders>
              <w:top w:val="nil"/>
            </w:tcBorders>
          </w:tcPr>
          <w:p w14:paraId="126A16F6" w14:textId="77777777" w:rsidR="005C1D44" w:rsidRPr="00DE75D1" w:rsidRDefault="005C1D44" w:rsidP="000E6382">
            <w:pPr>
              <w:spacing w:line="360" w:lineRule="auto"/>
              <w:jc w:val="center"/>
              <w:rPr>
                <w:b/>
                <w:sz w:val="18"/>
                <w:szCs w:val="18"/>
              </w:rPr>
            </w:pPr>
            <w:r w:rsidRPr="00DE75D1">
              <w:rPr>
                <w:b/>
                <w:sz w:val="18"/>
                <w:szCs w:val="18"/>
              </w:rPr>
              <w:t>4.20</w:t>
            </w:r>
          </w:p>
        </w:tc>
        <w:tc>
          <w:tcPr>
            <w:tcW w:w="1134" w:type="dxa"/>
            <w:tcBorders>
              <w:top w:val="nil"/>
            </w:tcBorders>
          </w:tcPr>
          <w:p w14:paraId="0AFF9836" w14:textId="77777777" w:rsidR="005C1D44" w:rsidRPr="00DE75D1" w:rsidRDefault="005C1D44" w:rsidP="000E6382">
            <w:pPr>
              <w:spacing w:line="360" w:lineRule="auto"/>
              <w:jc w:val="center"/>
              <w:rPr>
                <w:sz w:val="18"/>
                <w:szCs w:val="18"/>
              </w:rPr>
            </w:pPr>
            <w:r w:rsidRPr="00DE75D1">
              <w:rPr>
                <w:sz w:val="18"/>
                <w:szCs w:val="18"/>
              </w:rPr>
              <w:t>0.13</w:t>
            </w:r>
          </w:p>
        </w:tc>
      </w:tr>
      <w:tr w:rsidR="005C1D44" w:rsidRPr="003402D7" w14:paraId="48A2FC83" w14:textId="77777777" w:rsidTr="00990AFB">
        <w:tc>
          <w:tcPr>
            <w:tcW w:w="1276" w:type="dxa"/>
            <w:vMerge/>
          </w:tcPr>
          <w:p w14:paraId="487AE0CD" w14:textId="77777777" w:rsidR="005C1D44" w:rsidRPr="003402D7" w:rsidRDefault="005C1D44" w:rsidP="000E6382">
            <w:pPr>
              <w:keepNext/>
              <w:spacing w:line="360" w:lineRule="auto"/>
              <w:rPr>
                <w:color w:val="000000"/>
                <w:sz w:val="18"/>
                <w:szCs w:val="18"/>
              </w:rPr>
            </w:pPr>
          </w:p>
        </w:tc>
        <w:tc>
          <w:tcPr>
            <w:tcW w:w="3686" w:type="dxa"/>
            <w:tcBorders>
              <w:top w:val="nil"/>
            </w:tcBorders>
          </w:tcPr>
          <w:p w14:paraId="2D0EEF2B" w14:textId="77777777" w:rsidR="005C1D44" w:rsidRPr="003402D7" w:rsidRDefault="005C1D44" w:rsidP="000E6382">
            <w:pPr>
              <w:keepNext/>
              <w:spacing w:line="360" w:lineRule="auto"/>
              <w:rPr>
                <w:b/>
                <w:bCs/>
                <w:sz w:val="18"/>
                <w:szCs w:val="18"/>
              </w:rPr>
            </w:pPr>
            <w:r w:rsidRPr="003402D7">
              <w:rPr>
                <w:b/>
                <w:sz w:val="18"/>
                <w:szCs w:val="18"/>
              </w:rPr>
              <w:t>IE</w:t>
            </w:r>
            <w:r>
              <w:rPr>
                <w:b/>
                <w:sz w:val="18"/>
                <w:szCs w:val="18"/>
              </w:rPr>
              <w:t>G</w:t>
            </w:r>
            <w:r w:rsidRPr="003402D7">
              <w:rPr>
                <w:b/>
                <w:sz w:val="18"/>
                <w:szCs w:val="18"/>
              </w:rPr>
              <w:t>5</w:t>
            </w:r>
            <w:r w:rsidRPr="003402D7">
              <w:rPr>
                <w:sz w:val="18"/>
                <w:szCs w:val="18"/>
              </w:rPr>
              <w:t xml:space="preserve"> Personal, social y</w:t>
            </w:r>
            <w:r>
              <w:rPr>
                <w:sz w:val="18"/>
                <w:szCs w:val="18"/>
              </w:rPr>
              <w:t xml:space="preserve"> de a</w:t>
            </w:r>
            <w:r w:rsidRPr="003402D7">
              <w:rPr>
                <w:sz w:val="18"/>
                <w:szCs w:val="18"/>
              </w:rPr>
              <w:t>prender a aprender</w:t>
            </w:r>
          </w:p>
        </w:tc>
        <w:tc>
          <w:tcPr>
            <w:tcW w:w="1135" w:type="dxa"/>
            <w:tcBorders>
              <w:top w:val="nil"/>
            </w:tcBorders>
          </w:tcPr>
          <w:p w14:paraId="30F9FE2B" w14:textId="77777777" w:rsidR="005C1D44" w:rsidRPr="00DE75D1" w:rsidRDefault="005C1D44" w:rsidP="000E6382">
            <w:pPr>
              <w:spacing w:line="360" w:lineRule="auto"/>
              <w:jc w:val="center"/>
              <w:rPr>
                <w:b/>
                <w:sz w:val="18"/>
                <w:szCs w:val="18"/>
              </w:rPr>
            </w:pPr>
            <w:r w:rsidRPr="00DE75D1">
              <w:rPr>
                <w:b/>
                <w:sz w:val="18"/>
                <w:szCs w:val="18"/>
              </w:rPr>
              <w:t>4.41</w:t>
            </w:r>
          </w:p>
        </w:tc>
        <w:tc>
          <w:tcPr>
            <w:tcW w:w="991" w:type="dxa"/>
            <w:tcBorders>
              <w:top w:val="nil"/>
            </w:tcBorders>
          </w:tcPr>
          <w:p w14:paraId="01987E48" w14:textId="77777777" w:rsidR="005C1D44" w:rsidRPr="00DE75D1" w:rsidRDefault="005C1D44" w:rsidP="000E6382">
            <w:pPr>
              <w:spacing w:line="360" w:lineRule="auto"/>
              <w:jc w:val="center"/>
              <w:rPr>
                <w:b/>
                <w:sz w:val="18"/>
                <w:szCs w:val="18"/>
              </w:rPr>
            </w:pPr>
            <w:r w:rsidRPr="00DE75D1">
              <w:rPr>
                <w:sz w:val="18"/>
                <w:szCs w:val="18"/>
              </w:rPr>
              <w:t>4.04</w:t>
            </w:r>
          </w:p>
        </w:tc>
        <w:tc>
          <w:tcPr>
            <w:tcW w:w="1134" w:type="dxa"/>
            <w:tcBorders>
              <w:top w:val="nil"/>
            </w:tcBorders>
          </w:tcPr>
          <w:p w14:paraId="52314EA5" w14:textId="77777777" w:rsidR="005C1D44" w:rsidRPr="00DE75D1" w:rsidRDefault="005C1D44" w:rsidP="000E6382">
            <w:pPr>
              <w:spacing w:line="360" w:lineRule="auto"/>
              <w:jc w:val="center"/>
              <w:rPr>
                <w:sz w:val="18"/>
                <w:szCs w:val="18"/>
              </w:rPr>
            </w:pPr>
            <w:r w:rsidRPr="00DE75D1">
              <w:rPr>
                <w:sz w:val="18"/>
                <w:szCs w:val="18"/>
              </w:rPr>
              <w:t>0.38</w:t>
            </w:r>
          </w:p>
        </w:tc>
      </w:tr>
      <w:tr w:rsidR="005C1D44" w:rsidRPr="003402D7" w14:paraId="6DF80013" w14:textId="77777777" w:rsidTr="00990AFB">
        <w:tc>
          <w:tcPr>
            <w:tcW w:w="1276" w:type="dxa"/>
            <w:vMerge/>
          </w:tcPr>
          <w:p w14:paraId="2FBE1A76" w14:textId="77777777" w:rsidR="005C1D44" w:rsidRPr="003402D7" w:rsidRDefault="005C1D44" w:rsidP="000E6382">
            <w:pPr>
              <w:keepNext/>
              <w:spacing w:line="360" w:lineRule="auto"/>
              <w:rPr>
                <w:color w:val="000000"/>
                <w:sz w:val="18"/>
                <w:szCs w:val="18"/>
              </w:rPr>
            </w:pPr>
          </w:p>
        </w:tc>
        <w:tc>
          <w:tcPr>
            <w:tcW w:w="3686" w:type="dxa"/>
            <w:tcBorders>
              <w:top w:val="nil"/>
            </w:tcBorders>
          </w:tcPr>
          <w:p w14:paraId="2B09F7C9" w14:textId="77777777" w:rsidR="005C1D44" w:rsidRPr="003402D7" w:rsidRDefault="005C1D44" w:rsidP="000E6382">
            <w:pPr>
              <w:keepNext/>
              <w:spacing w:line="360" w:lineRule="auto"/>
              <w:rPr>
                <w:b/>
                <w:bCs/>
                <w:sz w:val="18"/>
                <w:szCs w:val="18"/>
              </w:rPr>
            </w:pPr>
            <w:r w:rsidRPr="003402D7">
              <w:rPr>
                <w:b/>
                <w:sz w:val="18"/>
                <w:szCs w:val="18"/>
              </w:rPr>
              <w:t>IE</w:t>
            </w:r>
            <w:r>
              <w:rPr>
                <w:b/>
                <w:sz w:val="18"/>
                <w:szCs w:val="18"/>
              </w:rPr>
              <w:t>G</w:t>
            </w:r>
            <w:r w:rsidRPr="003402D7">
              <w:rPr>
                <w:b/>
                <w:sz w:val="18"/>
                <w:szCs w:val="18"/>
              </w:rPr>
              <w:t>6</w:t>
            </w:r>
            <w:r w:rsidRPr="003402D7">
              <w:rPr>
                <w:sz w:val="18"/>
                <w:szCs w:val="18"/>
              </w:rPr>
              <w:t xml:space="preserve"> Ciudadana</w:t>
            </w:r>
          </w:p>
        </w:tc>
        <w:tc>
          <w:tcPr>
            <w:tcW w:w="1135" w:type="dxa"/>
            <w:tcBorders>
              <w:top w:val="nil"/>
            </w:tcBorders>
          </w:tcPr>
          <w:p w14:paraId="3873A878" w14:textId="77777777" w:rsidR="005C1D44" w:rsidRPr="00DE75D1" w:rsidRDefault="005C1D44" w:rsidP="000E6382">
            <w:pPr>
              <w:spacing w:line="360" w:lineRule="auto"/>
              <w:jc w:val="center"/>
              <w:rPr>
                <w:sz w:val="18"/>
                <w:szCs w:val="18"/>
              </w:rPr>
            </w:pPr>
            <w:r w:rsidRPr="00DE75D1">
              <w:rPr>
                <w:sz w:val="18"/>
                <w:szCs w:val="18"/>
              </w:rPr>
              <w:t>3.97</w:t>
            </w:r>
          </w:p>
        </w:tc>
        <w:tc>
          <w:tcPr>
            <w:tcW w:w="991" w:type="dxa"/>
            <w:tcBorders>
              <w:top w:val="nil"/>
            </w:tcBorders>
          </w:tcPr>
          <w:p w14:paraId="4812E440" w14:textId="77777777" w:rsidR="005C1D44" w:rsidRPr="00DE75D1" w:rsidRDefault="005C1D44" w:rsidP="000E6382">
            <w:pPr>
              <w:spacing w:line="360" w:lineRule="auto"/>
              <w:jc w:val="center"/>
              <w:rPr>
                <w:b/>
                <w:sz w:val="18"/>
                <w:szCs w:val="18"/>
              </w:rPr>
            </w:pPr>
            <w:r w:rsidRPr="00DE75D1">
              <w:rPr>
                <w:b/>
                <w:sz w:val="18"/>
                <w:szCs w:val="18"/>
              </w:rPr>
              <w:t>3.69</w:t>
            </w:r>
          </w:p>
        </w:tc>
        <w:tc>
          <w:tcPr>
            <w:tcW w:w="1134" w:type="dxa"/>
            <w:tcBorders>
              <w:top w:val="nil"/>
            </w:tcBorders>
          </w:tcPr>
          <w:p w14:paraId="17CB513B" w14:textId="77777777" w:rsidR="005C1D44" w:rsidRPr="00DE75D1" w:rsidRDefault="005C1D44" w:rsidP="000E6382">
            <w:pPr>
              <w:spacing w:line="360" w:lineRule="auto"/>
              <w:jc w:val="center"/>
              <w:rPr>
                <w:sz w:val="18"/>
                <w:szCs w:val="18"/>
              </w:rPr>
            </w:pPr>
            <w:r w:rsidRPr="00DE75D1">
              <w:rPr>
                <w:sz w:val="18"/>
                <w:szCs w:val="18"/>
              </w:rPr>
              <w:t>0.27</w:t>
            </w:r>
          </w:p>
        </w:tc>
      </w:tr>
      <w:tr w:rsidR="005C1D44" w:rsidRPr="003402D7" w14:paraId="48FB3634" w14:textId="77777777" w:rsidTr="00990AFB">
        <w:tc>
          <w:tcPr>
            <w:tcW w:w="1276" w:type="dxa"/>
            <w:vMerge/>
          </w:tcPr>
          <w:p w14:paraId="5E27C938" w14:textId="77777777" w:rsidR="005C1D44" w:rsidRPr="003402D7" w:rsidRDefault="005C1D44" w:rsidP="000E6382">
            <w:pPr>
              <w:keepNext/>
              <w:spacing w:line="360" w:lineRule="auto"/>
              <w:rPr>
                <w:color w:val="000000"/>
                <w:sz w:val="18"/>
                <w:szCs w:val="18"/>
              </w:rPr>
            </w:pPr>
          </w:p>
        </w:tc>
        <w:tc>
          <w:tcPr>
            <w:tcW w:w="3686" w:type="dxa"/>
            <w:tcBorders>
              <w:top w:val="nil"/>
            </w:tcBorders>
          </w:tcPr>
          <w:p w14:paraId="375F4DF9" w14:textId="77777777" w:rsidR="005C1D44" w:rsidRPr="003402D7" w:rsidRDefault="005C1D44" w:rsidP="000E6382">
            <w:pPr>
              <w:keepNext/>
              <w:spacing w:line="360" w:lineRule="auto"/>
              <w:rPr>
                <w:b/>
                <w:bCs/>
                <w:sz w:val="18"/>
                <w:szCs w:val="18"/>
              </w:rPr>
            </w:pPr>
            <w:r w:rsidRPr="003402D7">
              <w:rPr>
                <w:b/>
                <w:sz w:val="18"/>
                <w:szCs w:val="18"/>
              </w:rPr>
              <w:t>IE</w:t>
            </w:r>
            <w:r>
              <w:rPr>
                <w:b/>
                <w:sz w:val="18"/>
                <w:szCs w:val="18"/>
              </w:rPr>
              <w:t>G</w:t>
            </w:r>
            <w:r w:rsidRPr="003402D7">
              <w:rPr>
                <w:b/>
                <w:sz w:val="18"/>
                <w:szCs w:val="18"/>
              </w:rPr>
              <w:t>7</w:t>
            </w:r>
            <w:r w:rsidRPr="003402D7">
              <w:rPr>
                <w:sz w:val="18"/>
                <w:szCs w:val="18"/>
              </w:rPr>
              <w:t xml:space="preserve"> Emprendedora</w:t>
            </w:r>
          </w:p>
        </w:tc>
        <w:tc>
          <w:tcPr>
            <w:tcW w:w="1135" w:type="dxa"/>
            <w:tcBorders>
              <w:top w:val="nil"/>
            </w:tcBorders>
          </w:tcPr>
          <w:p w14:paraId="5E3F211F" w14:textId="77777777" w:rsidR="005C1D44" w:rsidRPr="00DE75D1" w:rsidRDefault="005C1D44" w:rsidP="000E6382">
            <w:pPr>
              <w:spacing w:line="360" w:lineRule="auto"/>
              <w:jc w:val="center"/>
              <w:rPr>
                <w:sz w:val="18"/>
                <w:szCs w:val="18"/>
              </w:rPr>
            </w:pPr>
            <w:r w:rsidRPr="00DE75D1">
              <w:rPr>
                <w:sz w:val="18"/>
                <w:szCs w:val="18"/>
              </w:rPr>
              <w:t>4.13</w:t>
            </w:r>
          </w:p>
        </w:tc>
        <w:tc>
          <w:tcPr>
            <w:tcW w:w="991" w:type="dxa"/>
            <w:tcBorders>
              <w:top w:val="nil"/>
            </w:tcBorders>
          </w:tcPr>
          <w:p w14:paraId="36E69008" w14:textId="77777777" w:rsidR="005C1D44" w:rsidRPr="00DE75D1" w:rsidRDefault="005C1D44" w:rsidP="000E6382">
            <w:pPr>
              <w:spacing w:line="360" w:lineRule="auto"/>
              <w:jc w:val="center"/>
              <w:rPr>
                <w:sz w:val="18"/>
                <w:szCs w:val="18"/>
              </w:rPr>
            </w:pPr>
            <w:r w:rsidRPr="00DE75D1">
              <w:rPr>
                <w:sz w:val="18"/>
                <w:szCs w:val="18"/>
              </w:rPr>
              <w:t>3.85</w:t>
            </w:r>
          </w:p>
        </w:tc>
        <w:tc>
          <w:tcPr>
            <w:tcW w:w="1134" w:type="dxa"/>
            <w:tcBorders>
              <w:top w:val="nil"/>
            </w:tcBorders>
          </w:tcPr>
          <w:p w14:paraId="463060B7" w14:textId="77777777" w:rsidR="005C1D44" w:rsidRPr="00DE75D1" w:rsidRDefault="005C1D44" w:rsidP="000E6382">
            <w:pPr>
              <w:spacing w:line="360" w:lineRule="auto"/>
              <w:jc w:val="center"/>
              <w:rPr>
                <w:sz w:val="18"/>
                <w:szCs w:val="18"/>
              </w:rPr>
            </w:pPr>
            <w:r w:rsidRPr="00DE75D1">
              <w:rPr>
                <w:sz w:val="18"/>
                <w:szCs w:val="18"/>
              </w:rPr>
              <w:t>0.27</w:t>
            </w:r>
          </w:p>
        </w:tc>
      </w:tr>
      <w:tr w:rsidR="005C1D44" w:rsidRPr="003402D7" w14:paraId="09458700" w14:textId="77777777" w:rsidTr="00990AFB">
        <w:tc>
          <w:tcPr>
            <w:tcW w:w="1276" w:type="dxa"/>
            <w:vMerge/>
            <w:tcBorders>
              <w:bottom w:val="single" w:sz="4" w:space="0" w:color="000000"/>
            </w:tcBorders>
          </w:tcPr>
          <w:p w14:paraId="685B4E0B" w14:textId="77777777" w:rsidR="005C1D44" w:rsidRPr="003402D7" w:rsidRDefault="005C1D44" w:rsidP="000E6382">
            <w:pPr>
              <w:keepNext/>
              <w:spacing w:line="360" w:lineRule="auto"/>
              <w:rPr>
                <w:color w:val="000000"/>
                <w:sz w:val="18"/>
                <w:szCs w:val="18"/>
              </w:rPr>
            </w:pPr>
          </w:p>
        </w:tc>
        <w:tc>
          <w:tcPr>
            <w:tcW w:w="3686" w:type="dxa"/>
            <w:tcBorders>
              <w:top w:val="nil"/>
              <w:bottom w:val="single" w:sz="4" w:space="0" w:color="000000"/>
            </w:tcBorders>
          </w:tcPr>
          <w:p w14:paraId="11CDDE15" w14:textId="77777777" w:rsidR="005C1D44" w:rsidRPr="003402D7" w:rsidRDefault="005C1D44" w:rsidP="000E6382">
            <w:pPr>
              <w:keepNext/>
              <w:spacing w:line="360" w:lineRule="auto"/>
              <w:rPr>
                <w:color w:val="000000"/>
                <w:sz w:val="18"/>
                <w:szCs w:val="18"/>
              </w:rPr>
            </w:pPr>
            <w:r w:rsidRPr="003402D7">
              <w:rPr>
                <w:b/>
                <w:sz w:val="18"/>
                <w:szCs w:val="18"/>
              </w:rPr>
              <w:t>IE</w:t>
            </w:r>
            <w:r>
              <w:rPr>
                <w:b/>
                <w:sz w:val="18"/>
                <w:szCs w:val="18"/>
              </w:rPr>
              <w:t>G</w:t>
            </w:r>
            <w:r w:rsidRPr="003402D7">
              <w:rPr>
                <w:b/>
                <w:sz w:val="18"/>
                <w:szCs w:val="18"/>
              </w:rPr>
              <w:t>8</w:t>
            </w:r>
            <w:r w:rsidRPr="003402D7">
              <w:rPr>
                <w:sz w:val="18"/>
                <w:szCs w:val="18"/>
              </w:rPr>
              <w:t xml:space="preserve"> Conciencia y expresión culturales</w:t>
            </w:r>
          </w:p>
        </w:tc>
        <w:tc>
          <w:tcPr>
            <w:tcW w:w="1135" w:type="dxa"/>
            <w:tcBorders>
              <w:top w:val="nil"/>
              <w:bottom w:val="single" w:sz="4" w:space="0" w:color="000000"/>
            </w:tcBorders>
          </w:tcPr>
          <w:p w14:paraId="21CD7631" w14:textId="77777777" w:rsidR="005C1D44" w:rsidRPr="00DE75D1" w:rsidRDefault="005C1D44" w:rsidP="000E6382">
            <w:pPr>
              <w:spacing w:line="360" w:lineRule="auto"/>
              <w:jc w:val="center"/>
              <w:rPr>
                <w:b/>
                <w:sz w:val="18"/>
                <w:szCs w:val="18"/>
              </w:rPr>
            </w:pPr>
            <w:r w:rsidRPr="00DE75D1">
              <w:rPr>
                <w:sz w:val="18"/>
                <w:szCs w:val="18"/>
              </w:rPr>
              <w:t>3.98</w:t>
            </w:r>
          </w:p>
        </w:tc>
        <w:tc>
          <w:tcPr>
            <w:tcW w:w="991" w:type="dxa"/>
            <w:tcBorders>
              <w:top w:val="nil"/>
              <w:bottom w:val="single" w:sz="4" w:space="0" w:color="000000"/>
            </w:tcBorders>
          </w:tcPr>
          <w:p w14:paraId="623BEFDE" w14:textId="77777777" w:rsidR="005C1D44" w:rsidRPr="00DE75D1" w:rsidRDefault="005C1D44" w:rsidP="000E6382">
            <w:pPr>
              <w:spacing w:line="360" w:lineRule="auto"/>
              <w:jc w:val="center"/>
              <w:rPr>
                <w:sz w:val="18"/>
                <w:szCs w:val="18"/>
              </w:rPr>
            </w:pPr>
            <w:r w:rsidRPr="00DE75D1">
              <w:rPr>
                <w:sz w:val="18"/>
                <w:szCs w:val="18"/>
              </w:rPr>
              <w:t>3.47</w:t>
            </w:r>
          </w:p>
        </w:tc>
        <w:tc>
          <w:tcPr>
            <w:tcW w:w="1134" w:type="dxa"/>
            <w:tcBorders>
              <w:top w:val="nil"/>
              <w:bottom w:val="single" w:sz="4" w:space="0" w:color="000000"/>
            </w:tcBorders>
          </w:tcPr>
          <w:p w14:paraId="306E0F16" w14:textId="77777777" w:rsidR="005C1D44" w:rsidRPr="00DE75D1" w:rsidRDefault="005C1D44" w:rsidP="000E6382">
            <w:pPr>
              <w:spacing w:line="360" w:lineRule="auto"/>
              <w:jc w:val="center"/>
              <w:rPr>
                <w:b/>
                <w:sz w:val="18"/>
                <w:szCs w:val="18"/>
              </w:rPr>
            </w:pPr>
            <w:r w:rsidRPr="00DE75D1">
              <w:rPr>
                <w:b/>
                <w:sz w:val="18"/>
                <w:szCs w:val="18"/>
              </w:rPr>
              <w:t>0.50</w:t>
            </w:r>
          </w:p>
        </w:tc>
      </w:tr>
    </w:tbl>
    <w:p w14:paraId="4B58D3D4" w14:textId="77777777" w:rsidR="005C1D44" w:rsidRDefault="005C1D44" w:rsidP="000E6382">
      <w:pPr>
        <w:spacing w:line="360" w:lineRule="auto"/>
      </w:pPr>
      <w:r>
        <w:rPr>
          <w:i/>
        </w:rPr>
        <w:t>Fuente:</w:t>
      </w:r>
      <w:r>
        <w:t xml:space="preserve"> Elaboración de las autoras</w:t>
      </w:r>
    </w:p>
    <w:p w14:paraId="063B8DC6" w14:textId="29922B56" w:rsidR="005C1D44" w:rsidRDefault="005C1D44" w:rsidP="000E6382">
      <w:pPr>
        <w:spacing w:line="360" w:lineRule="auto"/>
        <w:rPr>
          <w:i/>
        </w:rPr>
      </w:pPr>
    </w:p>
    <w:p w14:paraId="552A6049" w14:textId="595FE536" w:rsidR="005C1D44" w:rsidRDefault="005C1D44" w:rsidP="000E6382">
      <w:pPr>
        <w:spacing w:line="360" w:lineRule="auto"/>
        <w:rPr>
          <w:b/>
        </w:rPr>
      </w:pPr>
      <w:r>
        <w:rPr>
          <w:b/>
        </w:rPr>
        <w:t xml:space="preserve">Tabla </w:t>
      </w:r>
      <w:r w:rsidR="00EB2A66">
        <w:rPr>
          <w:b/>
        </w:rPr>
        <w:t>3</w:t>
      </w:r>
    </w:p>
    <w:p w14:paraId="37ED6390" w14:textId="5D38F11F" w:rsidR="00A76A65" w:rsidRDefault="00A76A65" w:rsidP="000E6382">
      <w:pPr>
        <w:spacing w:line="360" w:lineRule="auto"/>
        <w:rPr>
          <w:i/>
        </w:rPr>
      </w:pPr>
      <w:r>
        <w:rPr>
          <w:i/>
        </w:rPr>
        <w:t>Diferencia de medias</w:t>
      </w:r>
      <w:r w:rsidR="005C1D44">
        <w:rPr>
          <w:i/>
        </w:rPr>
        <w:t xml:space="preserve"> por país en el que estudia</w:t>
      </w:r>
    </w:p>
    <w:tbl>
      <w:tblPr>
        <w:tblW w:w="8222" w:type="dxa"/>
        <w:tblBorders>
          <w:top w:val="nil"/>
          <w:left w:val="nil"/>
          <w:bottom w:val="nil"/>
          <w:right w:val="nil"/>
          <w:insideH w:val="nil"/>
          <w:insideV w:val="nil"/>
        </w:tblBorders>
        <w:tblLayout w:type="fixed"/>
        <w:tblLook w:val="0400" w:firstRow="0" w:lastRow="0" w:firstColumn="0" w:lastColumn="0" w:noHBand="0" w:noVBand="1"/>
      </w:tblPr>
      <w:tblGrid>
        <w:gridCol w:w="1276"/>
        <w:gridCol w:w="3686"/>
        <w:gridCol w:w="1135"/>
        <w:gridCol w:w="991"/>
        <w:gridCol w:w="1134"/>
      </w:tblGrid>
      <w:tr w:rsidR="003402D7" w:rsidRPr="001C1E19" w14:paraId="4EC0A810" w14:textId="6E61E511" w:rsidTr="003402D7">
        <w:tc>
          <w:tcPr>
            <w:tcW w:w="1276" w:type="dxa"/>
            <w:tcBorders>
              <w:top w:val="single" w:sz="4" w:space="0" w:color="000000"/>
              <w:bottom w:val="single" w:sz="4" w:space="0" w:color="000000"/>
            </w:tcBorders>
          </w:tcPr>
          <w:p w14:paraId="29115498" w14:textId="77777777" w:rsidR="003402D7" w:rsidRPr="00E2774F" w:rsidRDefault="003402D7" w:rsidP="000E6382">
            <w:pPr>
              <w:keepNext/>
              <w:spacing w:line="360" w:lineRule="auto"/>
              <w:jc w:val="center"/>
              <w:rPr>
                <w:b/>
                <w:color w:val="000000"/>
                <w:sz w:val="18"/>
                <w:szCs w:val="18"/>
              </w:rPr>
            </w:pPr>
            <w:r w:rsidRPr="00E2774F">
              <w:rPr>
                <w:b/>
                <w:sz w:val="18"/>
                <w:szCs w:val="18"/>
              </w:rPr>
              <w:t>Factor</w:t>
            </w:r>
          </w:p>
        </w:tc>
        <w:tc>
          <w:tcPr>
            <w:tcW w:w="3686" w:type="dxa"/>
            <w:tcBorders>
              <w:top w:val="single" w:sz="4" w:space="0" w:color="000000"/>
              <w:bottom w:val="single" w:sz="4" w:space="0" w:color="000000"/>
            </w:tcBorders>
          </w:tcPr>
          <w:p w14:paraId="18E7176C" w14:textId="77777777" w:rsidR="003402D7" w:rsidRPr="00E2774F" w:rsidRDefault="003402D7" w:rsidP="000E6382">
            <w:pPr>
              <w:keepNext/>
              <w:spacing w:line="360" w:lineRule="auto"/>
              <w:jc w:val="center"/>
              <w:rPr>
                <w:b/>
                <w:color w:val="000000"/>
                <w:sz w:val="18"/>
                <w:szCs w:val="18"/>
              </w:rPr>
            </w:pPr>
            <w:r w:rsidRPr="00E2774F">
              <w:rPr>
                <w:b/>
                <w:sz w:val="18"/>
                <w:szCs w:val="18"/>
              </w:rPr>
              <w:t>Indicador</w:t>
            </w:r>
          </w:p>
        </w:tc>
        <w:tc>
          <w:tcPr>
            <w:tcW w:w="1135" w:type="dxa"/>
            <w:tcBorders>
              <w:top w:val="single" w:sz="4" w:space="0" w:color="000000"/>
              <w:bottom w:val="single" w:sz="4" w:space="0" w:color="000000"/>
            </w:tcBorders>
          </w:tcPr>
          <w:p w14:paraId="747A59A8" w14:textId="008FC95F" w:rsidR="003402D7" w:rsidRPr="00E2774F" w:rsidRDefault="003402D7" w:rsidP="000E6382">
            <w:pPr>
              <w:keepNext/>
              <w:spacing w:line="360" w:lineRule="auto"/>
              <w:jc w:val="center"/>
              <w:rPr>
                <w:b/>
                <w:color w:val="000000"/>
                <w:sz w:val="18"/>
                <w:szCs w:val="18"/>
              </w:rPr>
            </w:pPr>
            <w:r w:rsidRPr="00E2774F">
              <w:rPr>
                <w:b/>
                <w:sz w:val="18"/>
                <w:szCs w:val="18"/>
              </w:rPr>
              <w:t xml:space="preserve">Media </w:t>
            </w:r>
            <w:r>
              <w:rPr>
                <w:b/>
                <w:sz w:val="18"/>
                <w:szCs w:val="18"/>
              </w:rPr>
              <w:t>Colombia</w:t>
            </w:r>
          </w:p>
        </w:tc>
        <w:tc>
          <w:tcPr>
            <w:tcW w:w="991" w:type="dxa"/>
            <w:tcBorders>
              <w:top w:val="single" w:sz="4" w:space="0" w:color="000000"/>
              <w:bottom w:val="single" w:sz="4" w:space="0" w:color="000000"/>
            </w:tcBorders>
          </w:tcPr>
          <w:p w14:paraId="14CE708E" w14:textId="5A6DE9EE" w:rsidR="003402D7" w:rsidRPr="00E2774F" w:rsidRDefault="003402D7" w:rsidP="000E6382">
            <w:pPr>
              <w:keepNext/>
              <w:spacing w:line="360" w:lineRule="auto"/>
              <w:jc w:val="center"/>
              <w:rPr>
                <w:b/>
                <w:color w:val="000000"/>
                <w:sz w:val="18"/>
                <w:szCs w:val="18"/>
              </w:rPr>
            </w:pPr>
            <w:r w:rsidRPr="00E2774F">
              <w:rPr>
                <w:b/>
                <w:sz w:val="18"/>
                <w:szCs w:val="18"/>
              </w:rPr>
              <w:t>Media M</w:t>
            </w:r>
            <w:r>
              <w:rPr>
                <w:b/>
                <w:sz w:val="18"/>
                <w:szCs w:val="18"/>
              </w:rPr>
              <w:t>éxico</w:t>
            </w:r>
          </w:p>
        </w:tc>
        <w:tc>
          <w:tcPr>
            <w:tcW w:w="1134" w:type="dxa"/>
            <w:tcBorders>
              <w:top w:val="single" w:sz="4" w:space="0" w:color="000000"/>
              <w:bottom w:val="single" w:sz="4" w:space="0" w:color="000000"/>
            </w:tcBorders>
          </w:tcPr>
          <w:p w14:paraId="3C9D9CEF" w14:textId="2A1C7988" w:rsidR="003402D7" w:rsidRPr="00E2774F" w:rsidRDefault="003402D7" w:rsidP="000E6382">
            <w:pPr>
              <w:keepNext/>
              <w:spacing w:line="360" w:lineRule="auto"/>
              <w:jc w:val="center"/>
              <w:rPr>
                <w:b/>
                <w:sz w:val="18"/>
                <w:szCs w:val="18"/>
              </w:rPr>
            </w:pPr>
            <w:r>
              <w:rPr>
                <w:b/>
                <w:sz w:val="18"/>
                <w:szCs w:val="18"/>
              </w:rPr>
              <w:t>Diferencia de medias</w:t>
            </w:r>
          </w:p>
        </w:tc>
      </w:tr>
      <w:tr w:rsidR="003402D7" w:rsidRPr="003402D7" w14:paraId="483F9E8F" w14:textId="059A5C10" w:rsidTr="003402D7">
        <w:tc>
          <w:tcPr>
            <w:tcW w:w="1276" w:type="dxa"/>
            <w:vMerge w:val="restart"/>
            <w:tcBorders>
              <w:top w:val="nil"/>
            </w:tcBorders>
          </w:tcPr>
          <w:p w14:paraId="65F9EC33" w14:textId="11655812" w:rsidR="003402D7" w:rsidRPr="003402D7" w:rsidRDefault="003402D7" w:rsidP="000E6382">
            <w:pPr>
              <w:keepNext/>
              <w:spacing w:line="360" w:lineRule="auto"/>
              <w:rPr>
                <w:color w:val="000000"/>
                <w:sz w:val="18"/>
                <w:szCs w:val="18"/>
              </w:rPr>
            </w:pPr>
            <w:r w:rsidRPr="003402D7">
              <w:rPr>
                <w:color w:val="000000"/>
                <w:sz w:val="18"/>
                <w:szCs w:val="18"/>
              </w:rPr>
              <w:t xml:space="preserve">Factor </w:t>
            </w:r>
            <w:r w:rsidR="00D22DBD">
              <w:rPr>
                <w:color w:val="000000"/>
                <w:sz w:val="18"/>
                <w:szCs w:val="18"/>
              </w:rPr>
              <w:t>2</w:t>
            </w:r>
            <w:r w:rsidRPr="003402D7">
              <w:rPr>
                <w:color w:val="000000"/>
                <w:sz w:val="18"/>
                <w:szCs w:val="18"/>
              </w:rPr>
              <w:t xml:space="preserve">: </w:t>
            </w:r>
          </w:p>
          <w:p w14:paraId="4FFC5BA8" w14:textId="010C8D65" w:rsidR="003402D7" w:rsidRPr="003402D7" w:rsidRDefault="003402D7" w:rsidP="000E6382">
            <w:pPr>
              <w:keepNext/>
              <w:spacing w:line="360" w:lineRule="auto"/>
              <w:rPr>
                <w:color w:val="000000"/>
                <w:sz w:val="18"/>
                <w:szCs w:val="18"/>
              </w:rPr>
            </w:pPr>
            <w:r w:rsidRPr="003402D7">
              <w:rPr>
                <w:color w:val="000000"/>
                <w:sz w:val="18"/>
                <w:szCs w:val="18"/>
              </w:rPr>
              <w:t>País en el que estudia (P)</w:t>
            </w:r>
          </w:p>
        </w:tc>
        <w:tc>
          <w:tcPr>
            <w:tcW w:w="3686" w:type="dxa"/>
            <w:tcBorders>
              <w:top w:val="nil"/>
            </w:tcBorders>
          </w:tcPr>
          <w:p w14:paraId="1F5520D0" w14:textId="77777777" w:rsidR="003402D7" w:rsidRPr="003402D7" w:rsidRDefault="003402D7" w:rsidP="000E6382">
            <w:pPr>
              <w:keepNext/>
              <w:spacing w:line="360" w:lineRule="auto"/>
              <w:rPr>
                <w:color w:val="000000"/>
                <w:sz w:val="18"/>
                <w:szCs w:val="18"/>
              </w:rPr>
            </w:pPr>
            <w:r w:rsidRPr="003402D7">
              <w:rPr>
                <w:sz w:val="18"/>
                <w:szCs w:val="18"/>
              </w:rPr>
              <w:t>Global</w:t>
            </w:r>
          </w:p>
        </w:tc>
        <w:tc>
          <w:tcPr>
            <w:tcW w:w="1135" w:type="dxa"/>
            <w:tcBorders>
              <w:top w:val="nil"/>
            </w:tcBorders>
          </w:tcPr>
          <w:p w14:paraId="1FD88ACE" w14:textId="2ABF8F33" w:rsidR="003402D7" w:rsidRPr="003402D7" w:rsidRDefault="003402D7" w:rsidP="000E6382">
            <w:pPr>
              <w:spacing w:line="360" w:lineRule="auto"/>
              <w:jc w:val="center"/>
              <w:rPr>
                <w:sz w:val="18"/>
                <w:szCs w:val="18"/>
              </w:rPr>
            </w:pPr>
            <w:r w:rsidRPr="003402D7">
              <w:rPr>
                <w:sz w:val="18"/>
                <w:szCs w:val="18"/>
              </w:rPr>
              <w:t>3.87</w:t>
            </w:r>
          </w:p>
        </w:tc>
        <w:tc>
          <w:tcPr>
            <w:tcW w:w="991" w:type="dxa"/>
            <w:tcBorders>
              <w:top w:val="nil"/>
            </w:tcBorders>
          </w:tcPr>
          <w:p w14:paraId="5151C000" w14:textId="0911C245" w:rsidR="003402D7" w:rsidRPr="003402D7" w:rsidRDefault="003402D7" w:rsidP="000E6382">
            <w:pPr>
              <w:spacing w:line="360" w:lineRule="auto"/>
              <w:jc w:val="center"/>
              <w:rPr>
                <w:sz w:val="18"/>
                <w:szCs w:val="18"/>
              </w:rPr>
            </w:pPr>
            <w:r w:rsidRPr="003402D7">
              <w:rPr>
                <w:sz w:val="18"/>
                <w:szCs w:val="18"/>
              </w:rPr>
              <w:t>4.07</w:t>
            </w:r>
          </w:p>
        </w:tc>
        <w:tc>
          <w:tcPr>
            <w:tcW w:w="1134" w:type="dxa"/>
            <w:tcBorders>
              <w:top w:val="nil"/>
            </w:tcBorders>
          </w:tcPr>
          <w:p w14:paraId="0DCA801F" w14:textId="362B1775" w:rsidR="003402D7" w:rsidRPr="003402D7" w:rsidRDefault="003402D7" w:rsidP="000E6382">
            <w:pPr>
              <w:spacing w:line="360" w:lineRule="auto"/>
              <w:jc w:val="center"/>
              <w:rPr>
                <w:sz w:val="18"/>
                <w:szCs w:val="18"/>
              </w:rPr>
            </w:pPr>
            <w:r w:rsidRPr="003402D7">
              <w:rPr>
                <w:sz w:val="18"/>
                <w:szCs w:val="18"/>
              </w:rPr>
              <w:t>0.20</w:t>
            </w:r>
          </w:p>
        </w:tc>
      </w:tr>
      <w:tr w:rsidR="003402D7" w:rsidRPr="003402D7" w14:paraId="6D83BC27" w14:textId="2CA1E27B" w:rsidTr="003402D7">
        <w:tc>
          <w:tcPr>
            <w:tcW w:w="1276" w:type="dxa"/>
            <w:vMerge/>
          </w:tcPr>
          <w:p w14:paraId="4BB2B6A1" w14:textId="77777777" w:rsidR="003402D7" w:rsidRPr="003402D7" w:rsidRDefault="003402D7" w:rsidP="000E6382">
            <w:pPr>
              <w:keepNext/>
              <w:spacing w:line="360" w:lineRule="auto"/>
              <w:rPr>
                <w:color w:val="000000"/>
                <w:sz w:val="18"/>
                <w:szCs w:val="18"/>
              </w:rPr>
            </w:pPr>
          </w:p>
        </w:tc>
        <w:tc>
          <w:tcPr>
            <w:tcW w:w="3686" w:type="dxa"/>
            <w:tcBorders>
              <w:top w:val="nil"/>
            </w:tcBorders>
          </w:tcPr>
          <w:p w14:paraId="221520CC" w14:textId="0BA225BC" w:rsidR="003402D7" w:rsidRPr="003402D7" w:rsidRDefault="003402D7" w:rsidP="000E6382">
            <w:pPr>
              <w:keepNext/>
              <w:spacing w:line="360" w:lineRule="auto"/>
              <w:rPr>
                <w:color w:val="000000"/>
                <w:sz w:val="18"/>
                <w:szCs w:val="18"/>
              </w:rPr>
            </w:pPr>
            <w:r w:rsidRPr="003402D7">
              <w:rPr>
                <w:b/>
                <w:sz w:val="18"/>
                <w:szCs w:val="18"/>
              </w:rPr>
              <w:t>IEP1</w:t>
            </w:r>
            <w:r w:rsidRPr="003402D7">
              <w:rPr>
                <w:sz w:val="18"/>
                <w:szCs w:val="18"/>
              </w:rPr>
              <w:t xml:space="preserve"> Lectoescritura</w:t>
            </w:r>
          </w:p>
        </w:tc>
        <w:tc>
          <w:tcPr>
            <w:tcW w:w="1135" w:type="dxa"/>
            <w:tcBorders>
              <w:top w:val="nil"/>
            </w:tcBorders>
          </w:tcPr>
          <w:p w14:paraId="1F97F193" w14:textId="668E4349" w:rsidR="003402D7" w:rsidRPr="003402D7" w:rsidRDefault="003402D7" w:rsidP="000E6382">
            <w:pPr>
              <w:spacing w:line="360" w:lineRule="auto"/>
              <w:jc w:val="center"/>
              <w:rPr>
                <w:sz w:val="18"/>
                <w:szCs w:val="18"/>
              </w:rPr>
            </w:pPr>
            <w:r w:rsidRPr="003402D7">
              <w:rPr>
                <w:sz w:val="18"/>
                <w:szCs w:val="18"/>
              </w:rPr>
              <w:t>3.85</w:t>
            </w:r>
          </w:p>
        </w:tc>
        <w:tc>
          <w:tcPr>
            <w:tcW w:w="991" w:type="dxa"/>
            <w:tcBorders>
              <w:top w:val="nil"/>
            </w:tcBorders>
          </w:tcPr>
          <w:p w14:paraId="231B6879" w14:textId="7AB83341" w:rsidR="003402D7" w:rsidRPr="003402D7" w:rsidRDefault="003402D7" w:rsidP="000E6382">
            <w:pPr>
              <w:spacing w:line="360" w:lineRule="auto"/>
              <w:jc w:val="center"/>
              <w:rPr>
                <w:sz w:val="18"/>
                <w:szCs w:val="18"/>
              </w:rPr>
            </w:pPr>
            <w:r w:rsidRPr="003402D7">
              <w:rPr>
                <w:sz w:val="18"/>
                <w:szCs w:val="18"/>
              </w:rPr>
              <w:t>3.91</w:t>
            </w:r>
          </w:p>
        </w:tc>
        <w:tc>
          <w:tcPr>
            <w:tcW w:w="1134" w:type="dxa"/>
            <w:tcBorders>
              <w:top w:val="nil"/>
            </w:tcBorders>
          </w:tcPr>
          <w:p w14:paraId="597A4B85" w14:textId="7C4B9C17" w:rsidR="003402D7" w:rsidRPr="003402D7" w:rsidRDefault="003402D7" w:rsidP="000E6382">
            <w:pPr>
              <w:spacing w:line="360" w:lineRule="auto"/>
              <w:jc w:val="center"/>
              <w:rPr>
                <w:sz w:val="18"/>
                <w:szCs w:val="18"/>
              </w:rPr>
            </w:pPr>
            <w:r w:rsidRPr="003402D7">
              <w:rPr>
                <w:sz w:val="18"/>
                <w:szCs w:val="18"/>
              </w:rPr>
              <w:t>0.05</w:t>
            </w:r>
          </w:p>
        </w:tc>
      </w:tr>
      <w:tr w:rsidR="003402D7" w:rsidRPr="003402D7" w14:paraId="4D138E90" w14:textId="43B0080E" w:rsidTr="003402D7">
        <w:tc>
          <w:tcPr>
            <w:tcW w:w="1276" w:type="dxa"/>
            <w:vMerge/>
          </w:tcPr>
          <w:p w14:paraId="2CC39E4B" w14:textId="77777777" w:rsidR="003402D7" w:rsidRPr="003402D7" w:rsidRDefault="003402D7" w:rsidP="000E6382">
            <w:pPr>
              <w:keepNext/>
              <w:spacing w:line="360" w:lineRule="auto"/>
              <w:rPr>
                <w:color w:val="000000"/>
                <w:sz w:val="18"/>
                <w:szCs w:val="18"/>
              </w:rPr>
            </w:pPr>
          </w:p>
        </w:tc>
        <w:tc>
          <w:tcPr>
            <w:tcW w:w="3686" w:type="dxa"/>
            <w:tcBorders>
              <w:top w:val="nil"/>
            </w:tcBorders>
          </w:tcPr>
          <w:p w14:paraId="679C71C5" w14:textId="369EA4DD" w:rsidR="003402D7" w:rsidRPr="003402D7" w:rsidRDefault="003402D7" w:rsidP="000E6382">
            <w:pPr>
              <w:keepNext/>
              <w:spacing w:line="360" w:lineRule="auto"/>
              <w:rPr>
                <w:b/>
                <w:bCs/>
                <w:sz w:val="18"/>
                <w:szCs w:val="18"/>
              </w:rPr>
            </w:pPr>
            <w:r w:rsidRPr="003402D7">
              <w:rPr>
                <w:b/>
                <w:sz w:val="18"/>
                <w:szCs w:val="18"/>
              </w:rPr>
              <w:t>IEP2</w:t>
            </w:r>
            <w:r w:rsidRPr="003402D7">
              <w:rPr>
                <w:sz w:val="18"/>
                <w:szCs w:val="18"/>
              </w:rPr>
              <w:t xml:space="preserve"> Multilingüe</w:t>
            </w:r>
          </w:p>
        </w:tc>
        <w:tc>
          <w:tcPr>
            <w:tcW w:w="1135" w:type="dxa"/>
            <w:tcBorders>
              <w:top w:val="nil"/>
            </w:tcBorders>
          </w:tcPr>
          <w:p w14:paraId="77C57A30" w14:textId="7F2790FE" w:rsidR="003402D7" w:rsidRPr="003402D7" w:rsidRDefault="003402D7" w:rsidP="000E6382">
            <w:pPr>
              <w:spacing w:line="360" w:lineRule="auto"/>
              <w:jc w:val="center"/>
              <w:rPr>
                <w:sz w:val="18"/>
                <w:szCs w:val="18"/>
              </w:rPr>
            </w:pPr>
            <w:r w:rsidRPr="003402D7">
              <w:rPr>
                <w:sz w:val="18"/>
                <w:szCs w:val="18"/>
              </w:rPr>
              <w:t>3.72</w:t>
            </w:r>
          </w:p>
        </w:tc>
        <w:tc>
          <w:tcPr>
            <w:tcW w:w="991" w:type="dxa"/>
            <w:tcBorders>
              <w:top w:val="nil"/>
            </w:tcBorders>
          </w:tcPr>
          <w:p w14:paraId="6DED8BA8" w14:textId="2BF250E4" w:rsidR="003402D7" w:rsidRPr="003402D7" w:rsidRDefault="003402D7" w:rsidP="000E6382">
            <w:pPr>
              <w:spacing w:line="360" w:lineRule="auto"/>
              <w:jc w:val="center"/>
              <w:rPr>
                <w:sz w:val="18"/>
                <w:szCs w:val="18"/>
              </w:rPr>
            </w:pPr>
            <w:r w:rsidRPr="003402D7">
              <w:rPr>
                <w:sz w:val="18"/>
                <w:szCs w:val="18"/>
              </w:rPr>
              <w:t>4.01</w:t>
            </w:r>
          </w:p>
        </w:tc>
        <w:tc>
          <w:tcPr>
            <w:tcW w:w="1134" w:type="dxa"/>
            <w:tcBorders>
              <w:top w:val="nil"/>
            </w:tcBorders>
          </w:tcPr>
          <w:p w14:paraId="5331D9A6" w14:textId="7BB00E4C" w:rsidR="003402D7" w:rsidRPr="003402D7" w:rsidRDefault="003402D7" w:rsidP="000E6382">
            <w:pPr>
              <w:spacing w:line="360" w:lineRule="auto"/>
              <w:jc w:val="center"/>
              <w:rPr>
                <w:sz w:val="18"/>
                <w:szCs w:val="18"/>
              </w:rPr>
            </w:pPr>
            <w:r w:rsidRPr="003402D7">
              <w:rPr>
                <w:sz w:val="18"/>
                <w:szCs w:val="18"/>
              </w:rPr>
              <w:t>0.29</w:t>
            </w:r>
          </w:p>
        </w:tc>
      </w:tr>
      <w:tr w:rsidR="003402D7" w:rsidRPr="003402D7" w14:paraId="68288430" w14:textId="3A77A9F8" w:rsidTr="003402D7">
        <w:tc>
          <w:tcPr>
            <w:tcW w:w="1276" w:type="dxa"/>
            <w:vMerge/>
          </w:tcPr>
          <w:p w14:paraId="03BA4945" w14:textId="77777777" w:rsidR="003402D7" w:rsidRPr="003402D7" w:rsidRDefault="003402D7" w:rsidP="000E6382">
            <w:pPr>
              <w:keepNext/>
              <w:spacing w:line="360" w:lineRule="auto"/>
              <w:rPr>
                <w:color w:val="000000"/>
                <w:sz w:val="18"/>
                <w:szCs w:val="18"/>
              </w:rPr>
            </w:pPr>
          </w:p>
        </w:tc>
        <w:tc>
          <w:tcPr>
            <w:tcW w:w="3686" w:type="dxa"/>
            <w:tcBorders>
              <w:top w:val="nil"/>
            </w:tcBorders>
          </w:tcPr>
          <w:p w14:paraId="1C999C6F" w14:textId="3739AFE3" w:rsidR="003402D7" w:rsidRPr="003402D7" w:rsidRDefault="003402D7" w:rsidP="000E6382">
            <w:pPr>
              <w:keepNext/>
              <w:spacing w:line="360" w:lineRule="auto"/>
              <w:rPr>
                <w:b/>
                <w:bCs/>
                <w:sz w:val="18"/>
                <w:szCs w:val="18"/>
              </w:rPr>
            </w:pPr>
            <w:r w:rsidRPr="003402D7">
              <w:rPr>
                <w:b/>
                <w:sz w:val="18"/>
                <w:szCs w:val="18"/>
              </w:rPr>
              <w:t>IEP3</w:t>
            </w:r>
            <w:r w:rsidRPr="003402D7">
              <w:rPr>
                <w:sz w:val="18"/>
                <w:szCs w:val="18"/>
              </w:rPr>
              <w:t xml:space="preserve"> Matemática y competencia en c</w:t>
            </w:r>
            <w:r w:rsidR="005C1D44">
              <w:rPr>
                <w:sz w:val="18"/>
                <w:szCs w:val="18"/>
              </w:rPr>
              <w:t>iencia, tecnología e ingeniería</w:t>
            </w:r>
          </w:p>
        </w:tc>
        <w:tc>
          <w:tcPr>
            <w:tcW w:w="1135" w:type="dxa"/>
            <w:tcBorders>
              <w:top w:val="nil"/>
            </w:tcBorders>
          </w:tcPr>
          <w:p w14:paraId="4C1302EC" w14:textId="0A1BADB4" w:rsidR="003402D7" w:rsidRPr="003402D7" w:rsidRDefault="003402D7" w:rsidP="000E6382">
            <w:pPr>
              <w:spacing w:line="360" w:lineRule="auto"/>
              <w:jc w:val="center"/>
              <w:rPr>
                <w:sz w:val="18"/>
                <w:szCs w:val="18"/>
              </w:rPr>
            </w:pPr>
            <w:r w:rsidRPr="003402D7">
              <w:rPr>
                <w:sz w:val="18"/>
                <w:szCs w:val="18"/>
              </w:rPr>
              <w:t>3.81</w:t>
            </w:r>
          </w:p>
        </w:tc>
        <w:tc>
          <w:tcPr>
            <w:tcW w:w="991" w:type="dxa"/>
            <w:tcBorders>
              <w:top w:val="nil"/>
            </w:tcBorders>
          </w:tcPr>
          <w:p w14:paraId="10640535" w14:textId="62E37BC0" w:rsidR="003402D7" w:rsidRPr="003402D7" w:rsidRDefault="003402D7" w:rsidP="000E6382">
            <w:pPr>
              <w:spacing w:line="360" w:lineRule="auto"/>
              <w:jc w:val="center"/>
              <w:rPr>
                <w:sz w:val="18"/>
                <w:szCs w:val="18"/>
              </w:rPr>
            </w:pPr>
            <w:r w:rsidRPr="003402D7">
              <w:rPr>
                <w:sz w:val="18"/>
                <w:szCs w:val="18"/>
              </w:rPr>
              <w:t>4.07</w:t>
            </w:r>
          </w:p>
        </w:tc>
        <w:tc>
          <w:tcPr>
            <w:tcW w:w="1134" w:type="dxa"/>
            <w:tcBorders>
              <w:top w:val="nil"/>
            </w:tcBorders>
          </w:tcPr>
          <w:p w14:paraId="1BC061D1" w14:textId="2C2161D6" w:rsidR="003402D7" w:rsidRPr="003402D7" w:rsidRDefault="003402D7" w:rsidP="000E6382">
            <w:pPr>
              <w:spacing w:line="360" w:lineRule="auto"/>
              <w:jc w:val="center"/>
              <w:rPr>
                <w:sz w:val="18"/>
                <w:szCs w:val="18"/>
              </w:rPr>
            </w:pPr>
            <w:r w:rsidRPr="003402D7">
              <w:rPr>
                <w:sz w:val="18"/>
                <w:szCs w:val="18"/>
              </w:rPr>
              <w:t>0.27</w:t>
            </w:r>
          </w:p>
        </w:tc>
      </w:tr>
      <w:tr w:rsidR="003402D7" w:rsidRPr="003402D7" w14:paraId="212A5B59" w14:textId="3E7556C8" w:rsidTr="003402D7">
        <w:tc>
          <w:tcPr>
            <w:tcW w:w="1276" w:type="dxa"/>
            <w:vMerge/>
          </w:tcPr>
          <w:p w14:paraId="421C4D13" w14:textId="77777777" w:rsidR="003402D7" w:rsidRPr="003402D7" w:rsidRDefault="003402D7" w:rsidP="000E6382">
            <w:pPr>
              <w:keepNext/>
              <w:spacing w:line="360" w:lineRule="auto"/>
              <w:rPr>
                <w:color w:val="000000"/>
                <w:sz w:val="18"/>
                <w:szCs w:val="18"/>
              </w:rPr>
            </w:pPr>
          </w:p>
        </w:tc>
        <w:tc>
          <w:tcPr>
            <w:tcW w:w="3686" w:type="dxa"/>
            <w:tcBorders>
              <w:top w:val="nil"/>
            </w:tcBorders>
          </w:tcPr>
          <w:p w14:paraId="52C5A1C6" w14:textId="03CDB6F1" w:rsidR="003402D7" w:rsidRPr="003402D7" w:rsidRDefault="003402D7" w:rsidP="000E6382">
            <w:pPr>
              <w:keepNext/>
              <w:spacing w:line="360" w:lineRule="auto"/>
              <w:rPr>
                <w:b/>
                <w:bCs/>
                <w:sz w:val="18"/>
                <w:szCs w:val="18"/>
              </w:rPr>
            </w:pPr>
            <w:r w:rsidRPr="003402D7">
              <w:rPr>
                <w:b/>
                <w:sz w:val="18"/>
                <w:szCs w:val="18"/>
              </w:rPr>
              <w:t>IEP4</w:t>
            </w:r>
            <w:r w:rsidRPr="003402D7">
              <w:rPr>
                <w:sz w:val="18"/>
                <w:szCs w:val="18"/>
              </w:rPr>
              <w:t xml:space="preserve"> Digital</w:t>
            </w:r>
          </w:p>
        </w:tc>
        <w:tc>
          <w:tcPr>
            <w:tcW w:w="1135" w:type="dxa"/>
            <w:tcBorders>
              <w:top w:val="nil"/>
            </w:tcBorders>
          </w:tcPr>
          <w:p w14:paraId="02DC1AE6" w14:textId="05EFFD91" w:rsidR="003402D7" w:rsidRPr="00DE75D1" w:rsidRDefault="003402D7" w:rsidP="000E6382">
            <w:pPr>
              <w:spacing w:line="360" w:lineRule="auto"/>
              <w:jc w:val="center"/>
              <w:rPr>
                <w:b/>
                <w:sz w:val="18"/>
                <w:szCs w:val="18"/>
              </w:rPr>
            </w:pPr>
            <w:r w:rsidRPr="00DE75D1">
              <w:rPr>
                <w:b/>
                <w:sz w:val="18"/>
                <w:szCs w:val="18"/>
              </w:rPr>
              <w:t>4.26</w:t>
            </w:r>
          </w:p>
        </w:tc>
        <w:tc>
          <w:tcPr>
            <w:tcW w:w="991" w:type="dxa"/>
            <w:tcBorders>
              <w:top w:val="nil"/>
            </w:tcBorders>
          </w:tcPr>
          <w:p w14:paraId="5100A798" w14:textId="62DF5820" w:rsidR="003402D7" w:rsidRPr="003402D7" w:rsidRDefault="003402D7" w:rsidP="000E6382">
            <w:pPr>
              <w:spacing w:line="360" w:lineRule="auto"/>
              <w:jc w:val="center"/>
              <w:rPr>
                <w:sz w:val="18"/>
                <w:szCs w:val="18"/>
              </w:rPr>
            </w:pPr>
            <w:r w:rsidRPr="003402D7">
              <w:rPr>
                <w:sz w:val="18"/>
                <w:szCs w:val="18"/>
              </w:rPr>
              <w:t>4.29</w:t>
            </w:r>
          </w:p>
        </w:tc>
        <w:tc>
          <w:tcPr>
            <w:tcW w:w="1134" w:type="dxa"/>
            <w:tcBorders>
              <w:top w:val="nil"/>
            </w:tcBorders>
          </w:tcPr>
          <w:p w14:paraId="368F17EA" w14:textId="17B31BB2" w:rsidR="003402D7" w:rsidRPr="003402D7" w:rsidRDefault="003402D7" w:rsidP="000E6382">
            <w:pPr>
              <w:spacing w:line="360" w:lineRule="auto"/>
              <w:jc w:val="center"/>
              <w:rPr>
                <w:sz w:val="18"/>
                <w:szCs w:val="18"/>
              </w:rPr>
            </w:pPr>
            <w:r w:rsidRPr="003402D7">
              <w:rPr>
                <w:sz w:val="18"/>
                <w:szCs w:val="18"/>
              </w:rPr>
              <w:t>0.04</w:t>
            </w:r>
          </w:p>
        </w:tc>
      </w:tr>
      <w:tr w:rsidR="003402D7" w:rsidRPr="003402D7" w14:paraId="0CEE810D" w14:textId="2A953D02" w:rsidTr="003402D7">
        <w:tc>
          <w:tcPr>
            <w:tcW w:w="1276" w:type="dxa"/>
            <w:vMerge/>
          </w:tcPr>
          <w:p w14:paraId="73058BD9" w14:textId="77777777" w:rsidR="003402D7" w:rsidRPr="003402D7" w:rsidRDefault="003402D7" w:rsidP="000E6382">
            <w:pPr>
              <w:keepNext/>
              <w:spacing w:line="360" w:lineRule="auto"/>
              <w:rPr>
                <w:color w:val="000000"/>
                <w:sz w:val="18"/>
                <w:szCs w:val="18"/>
              </w:rPr>
            </w:pPr>
          </w:p>
        </w:tc>
        <w:tc>
          <w:tcPr>
            <w:tcW w:w="3686" w:type="dxa"/>
            <w:tcBorders>
              <w:top w:val="nil"/>
            </w:tcBorders>
          </w:tcPr>
          <w:p w14:paraId="36D2F5B9" w14:textId="4E99F615" w:rsidR="003402D7" w:rsidRPr="003402D7" w:rsidRDefault="003402D7" w:rsidP="000E6382">
            <w:pPr>
              <w:keepNext/>
              <w:spacing w:line="360" w:lineRule="auto"/>
              <w:rPr>
                <w:b/>
                <w:bCs/>
                <w:sz w:val="18"/>
                <w:szCs w:val="18"/>
              </w:rPr>
            </w:pPr>
            <w:r w:rsidRPr="003402D7">
              <w:rPr>
                <w:b/>
                <w:sz w:val="18"/>
                <w:szCs w:val="18"/>
              </w:rPr>
              <w:t>IEP5</w:t>
            </w:r>
            <w:r w:rsidRPr="003402D7">
              <w:rPr>
                <w:sz w:val="18"/>
                <w:szCs w:val="18"/>
              </w:rPr>
              <w:t xml:space="preserve"> Personal, social y</w:t>
            </w:r>
            <w:r>
              <w:rPr>
                <w:sz w:val="18"/>
                <w:szCs w:val="18"/>
              </w:rPr>
              <w:t xml:space="preserve"> de a</w:t>
            </w:r>
            <w:r w:rsidRPr="003402D7">
              <w:rPr>
                <w:sz w:val="18"/>
                <w:szCs w:val="18"/>
              </w:rPr>
              <w:t>prender a aprender</w:t>
            </w:r>
          </w:p>
        </w:tc>
        <w:tc>
          <w:tcPr>
            <w:tcW w:w="1135" w:type="dxa"/>
            <w:tcBorders>
              <w:top w:val="nil"/>
            </w:tcBorders>
          </w:tcPr>
          <w:p w14:paraId="562997A4" w14:textId="14A57A00" w:rsidR="003402D7" w:rsidRPr="003402D7" w:rsidRDefault="003402D7" w:rsidP="000E6382">
            <w:pPr>
              <w:spacing w:line="360" w:lineRule="auto"/>
              <w:jc w:val="center"/>
              <w:rPr>
                <w:sz w:val="18"/>
                <w:szCs w:val="18"/>
              </w:rPr>
            </w:pPr>
            <w:r w:rsidRPr="003402D7">
              <w:rPr>
                <w:sz w:val="18"/>
                <w:szCs w:val="18"/>
              </w:rPr>
              <w:t>4.09</w:t>
            </w:r>
          </w:p>
        </w:tc>
        <w:tc>
          <w:tcPr>
            <w:tcW w:w="991" w:type="dxa"/>
            <w:tcBorders>
              <w:top w:val="nil"/>
            </w:tcBorders>
          </w:tcPr>
          <w:p w14:paraId="14AB5BD4" w14:textId="2B461656" w:rsidR="003402D7" w:rsidRPr="00DE75D1" w:rsidRDefault="003402D7" w:rsidP="000E6382">
            <w:pPr>
              <w:spacing w:line="360" w:lineRule="auto"/>
              <w:jc w:val="center"/>
              <w:rPr>
                <w:b/>
                <w:sz w:val="18"/>
                <w:szCs w:val="18"/>
              </w:rPr>
            </w:pPr>
            <w:r w:rsidRPr="00DE75D1">
              <w:rPr>
                <w:b/>
                <w:sz w:val="18"/>
                <w:szCs w:val="18"/>
              </w:rPr>
              <w:t>4.36</w:t>
            </w:r>
          </w:p>
        </w:tc>
        <w:tc>
          <w:tcPr>
            <w:tcW w:w="1134" w:type="dxa"/>
            <w:tcBorders>
              <w:top w:val="nil"/>
            </w:tcBorders>
          </w:tcPr>
          <w:p w14:paraId="3A5236C4" w14:textId="4D3A440B" w:rsidR="003402D7" w:rsidRPr="003402D7" w:rsidRDefault="003402D7" w:rsidP="000E6382">
            <w:pPr>
              <w:spacing w:line="360" w:lineRule="auto"/>
              <w:jc w:val="center"/>
              <w:rPr>
                <w:sz w:val="18"/>
                <w:szCs w:val="18"/>
              </w:rPr>
            </w:pPr>
            <w:r w:rsidRPr="003402D7">
              <w:rPr>
                <w:sz w:val="18"/>
                <w:szCs w:val="18"/>
              </w:rPr>
              <w:t>0.27</w:t>
            </w:r>
          </w:p>
        </w:tc>
      </w:tr>
      <w:tr w:rsidR="003402D7" w:rsidRPr="003402D7" w14:paraId="121C9C51" w14:textId="7F0BCA27" w:rsidTr="003402D7">
        <w:tc>
          <w:tcPr>
            <w:tcW w:w="1276" w:type="dxa"/>
            <w:vMerge/>
          </w:tcPr>
          <w:p w14:paraId="44F972B3" w14:textId="77777777" w:rsidR="003402D7" w:rsidRPr="003402D7" w:rsidRDefault="003402D7" w:rsidP="000E6382">
            <w:pPr>
              <w:keepNext/>
              <w:spacing w:line="360" w:lineRule="auto"/>
              <w:rPr>
                <w:color w:val="000000"/>
                <w:sz w:val="18"/>
                <w:szCs w:val="18"/>
              </w:rPr>
            </w:pPr>
          </w:p>
        </w:tc>
        <w:tc>
          <w:tcPr>
            <w:tcW w:w="3686" w:type="dxa"/>
            <w:tcBorders>
              <w:top w:val="nil"/>
            </w:tcBorders>
          </w:tcPr>
          <w:p w14:paraId="30B21645" w14:textId="65C2FD0F" w:rsidR="003402D7" w:rsidRPr="003402D7" w:rsidRDefault="003402D7" w:rsidP="000E6382">
            <w:pPr>
              <w:keepNext/>
              <w:spacing w:line="360" w:lineRule="auto"/>
              <w:rPr>
                <w:b/>
                <w:bCs/>
                <w:sz w:val="18"/>
                <w:szCs w:val="18"/>
              </w:rPr>
            </w:pPr>
            <w:r w:rsidRPr="003402D7">
              <w:rPr>
                <w:b/>
                <w:sz w:val="18"/>
                <w:szCs w:val="18"/>
              </w:rPr>
              <w:t>IEP6</w:t>
            </w:r>
            <w:r w:rsidRPr="003402D7">
              <w:rPr>
                <w:sz w:val="18"/>
                <w:szCs w:val="18"/>
              </w:rPr>
              <w:t xml:space="preserve"> Ciudadana</w:t>
            </w:r>
          </w:p>
        </w:tc>
        <w:tc>
          <w:tcPr>
            <w:tcW w:w="1135" w:type="dxa"/>
            <w:tcBorders>
              <w:top w:val="nil"/>
            </w:tcBorders>
          </w:tcPr>
          <w:p w14:paraId="3B0D155B" w14:textId="0473249C" w:rsidR="003402D7" w:rsidRPr="003402D7" w:rsidRDefault="003402D7" w:rsidP="000E6382">
            <w:pPr>
              <w:spacing w:line="360" w:lineRule="auto"/>
              <w:jc w:val="center"/>
              <w:rPr>
                <w:sz w:val="18"/>
                <w:szCs w:val="18"/>
              </w:rPr>
            </w:pPr>
            <w:r w:rsidRPr="003402D7">
              <w:rPr>
                <w:sz w:val="18"/>
                <w:szCs w:val="18"/>
              </w:rPr>
              <w:t>3.81</w:t>
            </w:r>
          </w:p>
        </w:tc>
        <w:tc>
          <w:tcPr>
            <w:tcW w:w="991" w:type="dxa"/>
            <w:tcBorders>
              <w:top w:val="nil"/>
            </w:tcBorders>
          </w:tcPr>
          <w:p w14:paraId="7FF9180D" w14:textId="50502753" w:rsidR="003402D7" w:rsidRPr="00DE75D1" w:rsidRDefault="003402D7" w:rsidP="000E6382">
            <w:pPr>
              <w:spacing w:line="360" w:lineRule="auto"/>
              <w:jc w:val="center"/>
              <w:rPr>
                <w:b/>
                <w:sz w:val="18"/>
                <w:szCs w:val="18"/>
              </w:rPr>
            </w:pPr>
            <w:r w:rsidRPr="00DE75D1">
              <w:rPr>
                <w:b/>
                <w:sz w:val="18"/>
                <w:szCs w:val="18"/>
              </w:rPr>
              <w:t>3.88</w:t>
            </w:r>
          </w:p>
        </w:tc>
        <w:tc>
          <w:tcPr>
            <w:tcW w:w="1134" w:type="dxa"/>
            <w:tcBorders>
              <w:top w:val="nil"/>
            </w:tcBorders>
          </w:tcPr>
          <w:p w14:paraId="025728EB" w14:textId="4F5145AB" w:rsidR="003402D7" w:rsidRPr="003402D7" w:rsidRDefault="003402D7" w:rsidP="000E6382">
            <w:pPr>
              <w:spacing w:line="360" w:lineRule="auto"/>
              <w:jc w:val="center"/>
              <w:rPr>
                <w:sz w:val="18"/>
                <w:szCs w:val="18"/>
              </w:rPr>
            </w:pPr>
            <w:r w:rsidRPr="003402D7">
              <w:rPr>
                <w:sz w:val="18"/>
                <w:szCs w:val="18"/>
              </w:rPr>
              <w:t>0.08</w:t>
            </w:r>
          </w:p>
        </w:tc>
      </w:tr>
      <w:tr w:rsidR="003402D7" w:rsidRPr="003402D7" w14:paraId="03929249" w14:textId="64C95E77" w:rsidTr="003402D7">
        <w:tc>
          <w:tcPr>
            <w:tcW w:w="1276" w:type="dxa"/>
            <w:vMerge/>
          </w:tcPr>
          <w:p w14:paraId="402A1B71" w14:textId="77777777" w:rsidR="003402D7" w:rsidRPr="003402D7" w:rsidRDefault="003402D7" w:rsidP="000E6382">
            <w:pPr>
              <w:keepNext/>
              <w:spacing w:line="360" w:lineRule="auto"/>
              <w:rPr>
                <w:color w:val="000000"/>
                <w:sz w:val="18"/>
                <w:szCs w:val="18"/>
              </w:rPr>
            </w:pPr>
          </w:p>
        </w:tc>
        <w:tc>
          <w:tcPr>
            <w:tcW w:w="3686" w:type="dxa"/>
            <w:tcBorders>
              <w:top w:val="nil"/>
            </w:tcBorders>
          </w:tcPr>
          <w:p w14:paraId="2A6B8BC1" w14:textId="07BB93EB" w:rsidR="003402D7" w:rsidRPr="003402D7" w:rsidRDefault="003402D7" w:rsidP="000E6382">
            <w:pPr>
              <w:keepNext/>
              <w:spacing w:line="360" w:lineRule="auto"/>
              <w:rPr>
                <w:b/>
                <w:bCs/>
                <w:sz w:val="18"/>
                <w:szCs w:val="18"/>
              </w:rPr>
            </w:pPr>
            <w:r w:rsidRPr="003402D7">
              <w:rPr>
                <w:b/>
                <w:sz w:val="18"/>
                <w:szCs w:val="18"/>
              </w:rPr>
              <w:t>IEP7</w:t>
            </w:r>
            <w:r w:rsidRPr="003402D7">
              <w:rPr>
                <w:sz w:val="18"/>
                <w:szCs w:val="18"/>
              </w:rPr>
              <w:t xml:space="preserve"> Emprendedora</w:t>
            </w:r>
          </w:p>
        </w:tc>
        <w:tc>
          <w:tcPr>
            <w:tcW w:w="1135" w:type="dxa"/>
            <w:tcBorders>
              <w:top w:val="nil"/>
            </w:tcBorders>
          </w:tcPr>
          <w:p w14:paraId="7ADD2C73" w14:textId="4226421D" w:rsidR="003402D7" w:rsidRPr="003402D7" w:rsidRDefault="003402D7" w:rsidP="000E6382">
            <w:pPr>
              <w:spacing w:line="360" w:lineRule="auto"/>
              <w:jc w:val="center"/>
              <w:rPr>
                <w:sz w:val="18"/>
                <w:szCs w:val="18"/>
              </w:rPr>
            </w:pPr>
            <w:r w:rsidRPr="003402D7">
              <w:rPr>
                <w:sz w:val="18"/>
                <w:szCs w:val="18"/>
              </w:rPr>
              <w:t>3.91</w:t>
            </w:r>
          </w:p>
        </w:tc>
        <w:tc>
          <w:tcPr>
            <w:tcW w:w="991" w:type="dxa"/>
            <w:tcBorders>
              <w:top w:val="nil"/>
            </w:tcBorders>
          </w:tcPr>
          <w:p w14:paraId="11FF209B" w14:textId="50C31EA9" w:rsidR="003402D7" w:rsidRPr="003402D7" w:rsidRDefault="003402D7" w:rsidP="000E6382">
            <w:pPr>
              <w:spacing w:line="360" w:lineRule="auto"/>
              <w:jc w:val="center"/>
              <w:rPr>
                <w:sz w:val="18"/>
                <w:szCs w:val="18"/>
              </w:rPr>
            </w:pPr>
            <w:r w:rsidRPr="003402D7">
              <w:rPr>
                <w:sz w:val="18"/>
                <w:szCs w:val="18"/>
              </w:rPr>
              <w:t>4.07</w:t>
            </w:r>
          </w:p>
        </w:tc>
        <w:tc>
          <w:tcPr>
            <w:tcW w:w="1134" w:type="dxa"/>
            <w:tcBorders>
              <w:top w:val="nil"/>
            </w:tcBorders>
          </w:tcPr>
          <w:p w14:paraId="1C39E3AF" w14:textId="7BEA8BA2" w:rsidR="003402D7" w:rsidRPr="003402D7" w:rsidRDefault="003402D7" w:rsidP="000E6382">
            <w:pPr>
              <w:spacing w:line="360" w:lineRule="auto"/>
              <w:jc w:val="center"/>
              <w:rPr>
                <w:sz w:val="18"/>
                <w:szCs w:val="18"/>
              </w:rPr>
            </w:pPr>
            <w:r w:rsidRPr="003402D7">
              <w:rPr>
                <w:sz w:val="18"/>
                <w:szCs w:val="18"/>
              </w:rPr>
              <w:t>0.16</w:t>
            </w:r>
          </w:p>
        </w:tc>
      </w:tr>
      <w:tr w:rsidR="003402D7" w:rsidRPr="003402D7" w14:paraId="7A51CA4B" w14:textId="73E082FE" w:rsidTr="003402D7">
        <w:tc>
          <w:tcPr>
            <w:tcW w:w="1276" w:type="dxa"/>
            <w:vMerge/>
            <w:tcBorders>
              <w:bottom w:val="single" w:sz="4" w:space="0" w:color="000000"/>
            </w:tcBorders>
          </w:tcPr>
          <w:p w14:paraId="71D607F8" w14:textId="77777777" w:rsidR="003402D7" w:rsidRPr="003402D7" w:rsidRDefault="003402D7" w:rsidP="000E6382">
            <w:pPr>
              <w:keepNext/>
              <w:spacing w:line="360" w:lineRule="auto"/>
              <w:rPr>
                <w:color w:val="000000"/>
                <w:sz w:val="18"/>
                <w:szCs w:val="18"/>
              </w:rPr>
            </w:pPr>
          </w:p>
        </w:tc>
        <w:tc>
          <w:tcPr>
            <w:tcW w:w="3686" w:type="dxa"/>
            <w:tcBorders>
              <w:top w:val="nil"/>
              <w:bottom w:val="single" w:sz="4" w:space="0" w:color="000000"/>
            </w:tcBorders>
          </w:tcPr>
          <w:p w14:paraId="3AFCB333" w14:textId="7E1F9241" w:rsidR="003402D7" w:rsidRPr="003402D7" w:rsidRDefault="003402D7" w:rsidP="000E6382">
            <w:pPr>
              <w:keepNext/>
              <w:spacing w:line="360" w:lineRule="auto"/>
              <w:rPr>
                <w:color w:val="000000"/>
                <w:sz w:val="18"/>
                <w:szCs w:val="18"/>
              </w:rPr>
            </w:pPr>
            <w:r w:rsidRPr="003402D7">
              <w:rPr>
                <w:b/>
                <w:sz w:val="18"/>
                <w:szCs w:val="18"/>
              </w:rPr>
              <w:t>IEP8</w:t>
            </w:r>
            <w:r w:rsidRPr="003402D7">
              <w:rPr>
                <w:sz w:val="18"/>
                <w:szCs w:val="18"/>
              </w:rPr>
              <w:t xml:space="preserve"> Conciencia y expresión culturales</w:t>
            </w:r>
          </w:p>
        </w:tc>
        <w:tc>
          <w:tcPr>
            <w:tcW w:w="1135" w:type="dxa"/>
            <w:tcBorders>
              <w:top w:val="nil"/>
              <w:bottom w:val="single" w:sz="4" w:space="0" w:color="000000"/>
            </w:tcBorders>
          </w:tcPr>
          <w:p w14:paraId="0B7379FB" w14:textId="1C3AC45F" w:rsidR="003402D7" w:rsidRPr="00DE75D1" w:rsidRDefault="003402D7" w:rsidP="000E6382">
            <w:pPr>
              <w:spacing w:line="360" w:lineRule="auto"/>
              <w:jc w:val="center"/>
              <w:rPr>
                <w:b/>
                <w:sz w:val="18"/>
                <w:szCs w:val="18"/>
              </w:rPr>
            </w:pPr>
            <w:r w:rsidRPr="00DE75D1">
              <w:rPr>
                <w:b/>
                <w:sz w:val="18"/>
                <w:szCs w:val="18"/>
              </w:rPr>
              <w:t>3.49</w:t>
            </w:r>
          </w:p>
        </w:tc>
        <w:tc>
          <w:tcPr>
            <w:tcW w:w="991" w:type="dxa"/>
            <w:tcBorders>
              <w:top w:val="nil"/>
              <w:bottom w:val="single" w:sz="4" w:space="0" w:color="000000"/>
            </w:tcBorders>
          </w:tcPr>
          <w:p w14:paraId="681B4C7A" w14:textId="158C34A0" w:rsidR="003402D7" w:rsidRPr="003402D7" w:rsidRDefault="003402D7" w:rsidP="000E6382">
            <w:pPr>
              <w:spacing w:line="360" w:lineRule="auto"/>
              <w:jc w:val="center"/>
              <w:rPr>
                <w:sz w:val="18"/>
                <w:szCs w:val="18"/>
              </w:rPr>
            </w:pPr>
            <w:r w:rsidRPr="003402D7">
              <w:rPr>
                <w:sz w:val="18"/>
                <w:szCs w:val="18"/>
              </w:rPr>
              <w:t>3.93</w:t>
            </w:r>
          </w:p>
        </w:tc>
        <w:tc>
          <w:tcPr>
            <w:tcW w:w="1134" w:type="dxa"/>
            <w:tcBorders>
              <w:top w:val="nil"/>
              <w:bottom w:val="single" w:sz="4" w:space="0" w:color="000000"/>
            </w:tcBorders>
          </w:tcPr>
          <w:p w14:paraId="070E42FD" w14:textId="6FFBAFDF" w:rsidR="003402D7" w:rsidRPr="003402D7" w:rsidRDefault="003402D7" w:rsidP="000E6382">
            <w:pPr>
              <w:spacing w:line="360" w:lineRule="auto"/>
              <w:jc w:val="center"/>
              <w:rPr>
                <w:b/>
                <w:sz w:val="18"/>
                <w:szCs w:val="18"/>
              </w:rPr>
            </w:pPr>
            <w:r w:rsidRPr="003402D7">
              <w:rPr>
                <w:b/>
                <w:sz w:val="18"/>
                <w:szCs w:val="18"/>
              </w:rPr>
              <w:t>0.44</w:t>
            </w:r>
          </w:p>
        </w:tc>
      </w:tr>
    </w:tbl>
    <w:p w14:paraId="0C62E9C2" w14:textId="4C51B0F9" w:rsidR="00A76A65" w:rsidRDefault="00A76A65" w:rsidP="000E6382">
      <w:pPr>
        <w:spacing w:line="360" w:lineRule="auto"/>
      </w:pPr>
      <w:r>
        <w:rPr>
          <w:i/>
        </w:rPr>
        <w:t>Fuente:</w:t>
      </w:r>
      <w:r>
        <w:t xml:space="preserve"> Elaboración de las autoras</w:t>
      </w:r>
    </w:p>
    <w:p w14:paraId="229207B6" w14:textId="77777777" w:rsidR="00232CA4" w:rsidRDefault="00232CA4" w:rsidP="00232CA4">
      <w:pPr>
        <w:spacing w:line="360" w:lineRule="auto"/>
        <w:jc w:val="both"/>
        <w:rPr>
          <w:szCs w:val="20"/>
        </w:rPr>
      </w:pPr>
    </w:p>
    <w:p w14:paraId="19D03887" w14:textId="64155CB2" w:rsidR="00232CA4" w:rsidRPr="001F0CA7" w:rsidRDefault="00232CA4" w:rsidP="00232CA4">
      <w:pPr>
        <w:spacing w:line="360" w:lineRule="auto"/>
        <w:jc w:val="both"/>
        <w:rPr>
          <w:szCs w:val="20"/>
        </w:rPr>
      </w:pPr>
      <w:r>
        <w:rPr>
          <w:szCs w:val="20"/>
        </w:rPr>
        <w:t xml:space="preserve">En la </w:t>
      </w:r>
      <w:r w:rsidRPr="001F0CA7">
        <w:rPr>
          <w:b/>
          <w:szCs w:val="20"/>
        </w:rPr>
        <w:t xml:space="preserve">Tabla </w:t>
      </w:r>
      <w:r>
        <w:rPr>
          <w:b/>
          <w:szCs w:val="20"/>
        </w:rPr>
        <w:t xml:space="preserve">3, </w:t>
      </w:r>
      <w:r>
        <w:rPr>
          <w:szCs w:val="20"/>
        </w:rPr>
        <w:t>se pueden observar las</w:t>
      </w:r>
      <w:r w:rsidRPr="001F0CA7">
        <w:rPr>
          <w:szCs w:val="20"/>
        </w:rPr>
        <w:t xml:space="preserve"> diferencias de medias </w:t>
      </w:r>
      <w:r>
        <w:rPr>
          <w:szCs w:val="20"/>
        </w:rPr>
        <w:t xml:space="preserve">en el </w:t>
      </w:r>
      <w:r w:rsidRPr="00287F24">
        <w:rPr>
          <w:szCs w:val="20"/>
        </w:rPr>
        <w:t xml:space="preserve">impacto en la empleabilidad </w:t>
      </w:r>
      <w:r>
        <w:rPr>
          <w:szCs w:val="20"/>
        </w:rPr>
        <w:t xml:space="preserve">por país en el que estudian, donde la mayor diferencia </w:t>
      </w:r>
      <w:r w:rsidRPr="00287F24">
        <w:rPr>
          <w:szCs w:val="20"/>
        </w:rPr>
        <w:t xml:space="preserve">en el impacto en la empleabilidad </w:t>
      </w:r>
      <w:r>
        <w:rPr>
          <w:szCs w:val="20"/>
        </w:rPr>
        <w:t xml:space="preserve">entre ambos géneros, radica en el factor </w:t>
      </w:r>
      <w:r w:rsidRPr="001F0CA7">
        <w:rPr>
          <w:b/>
          <w:szCs w:val="20"/>
        </w:rPr>
        <w:t>IE</w:t>
      </w:r>
      <w:r>
        <w:rPr>
          <w:b/>
          <w:szCs w:val="20"/>
        </w:rPr>
        <w:t>P</w:t>
      </w:r>
      <w:r w:rsidRPr="001F0CA7">
        <w:rPr>
          <w:b/>
          <w:szCs w:val="20"/>
        </w:rPr>
        <w:t>8</w:t>
      </w:r>
      <w:r>
        <w:rPr>
          <w:b/>
          <w:szCs w:val="20"/>
        </w:rPr>
        <w:t>;</w:t>
      </w:r>
      <w:r w:rsidRPr="001F0CA7">
        <w:rPr>
          <w:szCs w:val="20"/>
        </w:rPr>
        <w:t xml:space="preserve"> </w:t>
      </w:r>
      <w:r>
        <w:rPr>
          <w:szCs w:val="20"/>
        </w:rPr>
        <w:t>“</w:t>
      </w:r>
      <w:r w:rsidRPr="00A55A2D">
        <w:rPr>
          <w:i/>
          <w:szCs w:val="20"/>
        </w:rPr>
        <w:t>Conciencia y expresión culturales</w:t>
      </w:r>
      <w:r>
        <w:rPr>
          <w:szCs w:val="20"/>
        </w:rPr>
        <w:t>”.</w:t>
      </w:r>
    </w:p>
    <w:p w14:paraId="24F71A44" w14:textId="77777777" w:rsidR="00D22DBD" w:rsidRDefault="00D22DBD" w:rsidP="000E6382">
      <w:pPr>
        <w:spacing w:line="360" w:lineRule="auto"/>
      </w:pPr>
    </w:p>
    <w:p w14:paraId="734A179F" w14:textId="1A270153" w:rsidR="00D22DBD" w:rsidRDefault="00D22DBD" w:rsidP="000E6382">
      <w:pPr>
        <w:spacing w:line="360" w:lineRule="auto"/>
        <w:jc w:val="both"/>
      </w:pPr>
      <w:r>
        <w:t xml:space="preserve">La </w:t>
      </w:r>
      <w:r w:rsidRPr="00287F24">
        <w:rPr>
          <w:b/>
        </w:rPr>
        <w:t xml:space="preserve">Figura </w:t>
      </w:r>
      <w:r w:rsidR="00DA114B" w:rsidRPr="00287F24">
        <w:rPr>
          <w:b/>
        </w:rPr>
        <w:t>1</w:t>
      </w:r>
      <w:r w:rsidR="00DA114B">
        <w:t>, muestra</w:t>
      </w:r>
      <w:r>
        <w:t xml:space="preserve"> la distribución de las respuestas de la competencia </w:t>
      </w:r>
      <w:r w:rsidR="009174B3">
        <w:t xml:space="preserve">en el impacto de la empleabilidad; factor </w:t>
      </w:r>
      <w:r w:rsidR="00A55A2D" w:rsidRPr="00A55A2D">
        <w:rPr>
          <w:i/>
        </w:rPr>
        <w:t>c</w:t>
      </w:r>
      <w:r w:rsidRPr="00A55A2D">
        <w:rPr>
          <w:i/>
        </w:rPr>
        <w:t>onciencia y expresión culturales</w:t>
      </w:r>
      <w:r>
        <w:t xml:space="preserve">, </w:t>
      </w:r>
      <w:r w:rsidR="004B20C5" w:rsidRPr="004B20C5">
        <w:rPr>
          <w:b/>
        </w:rPr>
        <w:t>IE8</w:t>
      </w:r>
      <w:r w:rsidR="004B20C5">
        <w:t xml:space="preserve">; </w:t>
      </w:r>
      <w:r>
        <w:t>tanto desde la perspectiva de género como del país en que estudia.</w:t>
      </w:r>
      <w:r w:rsidR="009174B3">
        <w:t xml:space="preserve"> Se puede observar que el comportamiento de la gráfica de dispersión </w:t>
      </w:r>
      <w:r w:rsidR="00642BF1" w:rsidRPr="00642BF1">
        <w:t xml:space="preserve">en el impacto en la empleabilidad </w:t>
      </w:r>
      <w:r w:rsidR="009174B3">
        <w:t>desde la perspectiva de mujeres</w:t>
      </w:r>
      <w:r w:rsidR="00A55A2D">
        <w:t>,</w:t>
      </w:r>
      <w:r w:rsidR="009174B3">
        <w:t xml:space="preserve"> es similar a la gráfica de dispersión </w:t>
      </w:r>
      <w:r w:rsidR="00642BF1" w:rsidRPr="00642BF1">
        <w:t xml:space="preserve">en el impacto en la empleabilidad </w:t>
      </w:r>
      <w:r w:rsidR="009174B3">
        <w:t xml:space="preserve">desde el país </w:t>
      </w:r>
      <w:r w:rsidR="00642BF1" w:rsidRPr="00642BF1">
        <w:t>en que estudia</w:t>
      </w:r>
      <w:r w:rsidR="00642BF1">
        <w:t>,</w:t>
      </w:r>
      <w:r w:rsidR="00642BF1" w:rsidRPr="00642BF1">
        <w:t xml:space="preserve"> </w:t>
      </w:r>
      <w:r w:rsidR="009174B3">
        <w:t>México. Este mismo factor, tiene una dispersión muy parecida desde la perspectiva de hombres y el país en que estudia</w:t>
      </w:r>
      <w:r w:rsidR="00642BF1">
        <w:t xml:space="preserve">, </w:t>
      </w:r>
      <w:r w:rsidR="00642BF1" w:rsidRPr="00642BF1">
        <w:t>Colombia</w:t>
      </w:r>
      <w:r w:rsidR="009174B3">
        <w:t>.</w:t>
      </w:r>
      <w:r w:rsidR="00287F24">
        <w:t xml:space="preserve"> Es muy probable que </w:t>
      </w:r>
      <w:r w:rsidR="00642BF1">
        <w:t xml:space="preserve">esa distribución, </w:t>
      </w:r>
      <w:r w:rsidR="00287F24">
        <w:t xml:space="preserve">sea debido a que el 80% de la </w:t>
      </w:r>
      <w:r w:rsidR="00A55A2D">
        <w:t>muestra</w:t>
      </w:r>
      <w:r w:rsidR="00287F24">
        <w:t xml:space="preserve"> estudiantil en México son mujeres, respecto al </w:t>
      </w:r>
      <w:r w:rsidR="00642BF1" w:rsidRPr="00642BF1">
        <w:t>23.4%</w:t>
      </w:r>
      <w:r w:rsidR="00287F24">
        <w:t xml:space="preserve"> de la </w:t>
      </w:r>
      <w:r w:rsidR="00A55A2D">
        <w:t>muestra</w:t>
      </w:r>
      <w:r w:rsidR="00287F24">
        <w:t xml:space="preserve"> estudiantil de mujeres en Colombia.</w:t>
      </w:r>
    </w:p>
    <w:p w14:paraId="086E6678" w14:textId="19A2B3D2" w:rsidR="003402D7" w:rsidRDefault="00D22DBD" w:rsidP="000E6382">
      <w:pPr>
        <w:spacing w:line="360" w:lineRule="auto"/>
      </w:pPr>
      <w:r>
        <w:rPr>
          <w:noProof/>
          <w:lang w:val="es-MX" w:eastAsia="es-MX"/>
        </w:rPr>
        <w:drawing>
          <wp:inline distT="0" distB="0" distL="0" distR="0" wp14:anchorId="64AFD6C0" wp14:editId="7DF3C871">
            <wp:extent cx="2395071" cy="194400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95071" cy="1944000"/>
                    </a:xfrm>
                    <a:prstGeom prst="rect">
                      <a:avLst/>
                    </a:prstGeom>
                  </pic:spPr>
                </pic:pic>
              </a:graphicData>
            </a:graphic>
          </wp:inline>
        </w:drawing>
      </w:r>
      <w:r>
        <w:t xml:space="preserve">   </w:t>
      </w:r>
      <w:r w:rsidR="0053363E">
        <w:rPr>
          <w:noProof/>
          <w:lang w:val="es-MX" w:eastAsia="es-MX"/>
        </w:rPr>
        <w:drawing>
          <wp:inline distT="0" distB="0" distL="0" distR="0" wp14:anchorId="25F34F63" wp14:editId="09BDFBAC">
            <wp:extent cx="2379987" cy="19440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79987" cy="1944000"/>
                    </a:xfrm>
                    <a:prstGeom prst="rect">
                      <a:avLst/>
                    </a:prstGeom>
                  </pic:spPr>
                </pic:pic>
              </a:graphicData>
            </a:graphic>
          </wp:inline>
        </w:drawing>
      </w:r>
    </w:p>
    <w:p w14:paraId="224C5D28" w14:textId="53C8A39C" w:rsidR="00DA114B" w:rsidRPr="00DA114B" w:rsidRDefault="0009162F" w:rsidP="000E6382">
      <w:pPr>
        <w:spacing w:line="360" w:lineRule="auto"/>
        <w:jc w:val="center"/>
        <w:rPr>
          <w:sz w:val="20"/>
          <w:szCs w:val="20"/>
        </w:rPr>
      </w:pPr>
      <w:r w:rsidRPr="00DA114B">
        <w:rPr>
          <w:b/>
          <w:i/>
          <w:sz w:val="20"/>
          <w:szCs w:val="20"/>
        </w:rPr>
        <w:t>Figura 1</w:t>
      </w:r>
      <w:r w:rsidR="00A55A2D">
        <w:rPr>
          <w:b/>
          <w:i/>
          <w:sz w:val="20"/>
          <w:szCs w:val="20"/>
        </w:rPr>
        <w:t>:</w:t>
      </w:r>
      <w:r w:rsidRPr="00DA114B">
        <w:rPr>
          <w:sz w:val="20"/>
          <w:szCs w:val="20"/>
        </w:rPr>
        <w:t xml:space="preserve"> Distribución del </w:t>
      </w:r>
      <w:r w:rsidR="00A55A2D">
        <w:rPr>
          <w:sz w:val="20"/>
          <w:szCs w:val="20"/>
        </w:rPr>
        <w:t xml:space="preserve">factor </w:t>
      </w:r>
      <w:r w:rsidRPr="00A55A2D">
        <w:rPr>
          <w:i/>
          <w:sz w:val="20"/>
          <w:szCs w:val="20"/>
        </w:rPr>
        <w:t>conciencia y expresión culturales</w:t>
      </w:r>
      <w:r w:rsidRPr="00DA114B">
        <w:rPr>
          <w:sz w:val="20"/>
          <w:szCs w:val="20"/>
        </w:rPr>
        <w:t>.</w:t>
      </w:r>
    </w:p>
    <w:p w14:paraId="1612C7AB" w14:textId="6E2BB07C" w:rsidR="0009162F" w:rsidRPr="00DA114B" w:rsidRDefault="0009162F" w:rsidP="000E6382">
      <w:pPr>
        <w:spacing w:line="360" w:lineRule="auto"/>
        <w:jc w:val="center"/>
        <w:rPr>
          <w:sz w:val="20"/>
          <w:szCs w:val="20"/>
        </w:rPr>
      </w:pPr>
      <w:r w:rsidRPr="00DA114B">
        <w:rPr>
          <w:i/>
          <w:sz w:val="20"/>
          <w:szCs w:val="20"/>
        </w:rPr>
        <w:t>Fuente:</w:t>
      </w:r>
      <w:r w:rsidRPr="00DA114B">
        <w:rPr>
          <w:sz w:val="20"/>
          <w:szCs w:val="20"/>
        </w:rPr>
        <w:t xml:space="preserve"> Elaboración de las autoras</w:t>
      </w:r>
    </w:p>
    <w:p w14:paraId="74EC8165" w14:textId="77777777" w:rsidR="008778A1" w:rsidRPr="00DA114B" w:rsidRDefault="008778A1" w:rsidP="000E6382">
      <w:pPr>
        <w:spacing w:line="360" w:lineRule="auto"/>
        <w:rPr>
          <w:sz w:val="20"/>
          <w:szCs w:val="20"/>
        </w:rPr>
      </w:pPr>
    </w:p>
    <w:p w14:paraId="302CEBE4" w14:textId="27756E64" w:rsidR="008778A1" w:rsidRDefault="008778A1" w:rsidP="000E6382">
      <w:pPr>
        <w:spacing w:line="360" w:lineRule="auto"/>
      </w:pPr>
    </w:p>
    <w:p w14:paraId="407814DD" w14:textId="52F7AEDD" w:rsidR="00642BF1" w:rsidRPr="00642BF1" w:rsidRDefault="00642BF1" w:rsidP="000E6382">
      <w:pPr>
        <w:spacing w:line="360" w:lineRule="auto"/>
        <w:jc w:val="both"/>
        <w:rPr>
          <w:szCs w:val="20"/>
        </w:rPr>
      </w:pPr>
      <w:r>
        <w:rPr>
          <w:szCs w:val="20"/>
        </w:rPr>
        <w:t xml:space="preserve">En la </w:t>
      </w:r>
      <w:r w:rsidRPr="001F0CA7">
        <w:rPr>
          <w:b/>
          <w:szCs w:val="20"/>
        </w:rPr>
        <w:t xml:space="preserve">Tabla </w:t>
      </w:r>
      <w:r w:rsidR="00EB2A66">
        <w:rPr>
          <w:b/>
          <w:szCs w:val="20"/>
        </w:rPr>
        <w:t>4</w:t>
      </w:r>
      <w:r>
        <w:rPr>
          <w:b/>
          <w:szCs w:val="20"/>
        </w:rPr>
        <w:t xml:space="preserve">, </w:t>
      </w:r>
      <w:r>
        <w:rPr>
          <w:szCs w:val="20"/>
        </w:rPr>
        <w:t>se pueden observar las</w:t>
      </w:r>
      <w:r w:rsidRPr="001F0CA7">
        <w:rPr>
          <w:szCs w:val="20"/>
        </w:rPr>
        <w:t xml:space="preserve"> </w:t>
      </w:r>
      <w:r>
        <w:rPr>
          <w:szCs w:val="20"/>
        </w:rPr>
        <w:t xml:space="preserve">competencias de mayor y menor </w:t>
      </w:r>
      <w:r w:rsidRPr="00287F24">
        <w:rPr>
          <w:szCs w:val="20"/>
        </w:rPr>
        <w:t xml:space="preserve">impacto en la empleabilidad </w:t>
      </w:r>
      <w:r>
        <w:rPr>
          <w:szCs w:val="20"/>
        </w:rPr>
        <w:t>de los subgrupos: factor 1; género (G) y factor 2; p</w:t>
      </w:r>
      <w:r w:rsidRPr="00642BF1">
        <w:rPr>
          <w:szCs w:val="20"/>
        </w:rPr>
        <w:t>aís en el que estudia (P)</w:t>
      </w:r>
      <w:r>
        <w:rPr>
          <w:szCs w:val="20"/>
        </w:rPr>
        <w:t>.</w:t>
      </w:r>
    </w:p>
    <w:p w14:paraId="162D6467" w14:textId="04021024" w:rsidR="0069627F" w:rsidRDefault="0069627F">
      <w:pPr>
        <w:rPr>
          <w:b/>
          <w:bCs/>
          <w:color w:val="000000" w:themeColor="text1"/>
        </w:rPr>
      </w:pPr>
    </w:p>
    <w:p w14:paraId="3817A291" w14:textId="77777777" w:rsidR="001E3DE6" w:rsidRDefault="001E3DE6">
      <w:pPr>
        <w:rPr>
          <w:b/>
          <w:bCs/>
          <w:color w:val="000000" w:themeColor="text1"/>
        </w:rPr>
      </w:pPr>
    </w:p>
    <w:p w14:paraId="45EFC862" w14:textId="11FC469B" w:rsidR="001F0CA7" w:rsidRPr="002D4AB5" w:rsidRDefault="001F0CA7" w:rsidP="000E6382">
      <w:pPr>
        <w:spacing w:line="360" w:lineRule="auto"/>
        <w:jc w:val="both"/>
        <w:rPr>
          <w:b/>
          <w:bCs/>
          <w:color w:val="000000" w:themeColor="text1"/>
        </w:rPr>
      </w:pPr>
      <w:r w:rsidRPr="002D4AB5">
        <w:rPr>
          <w:b/>
          <w:bCs/>
          <w:color w:val="000000" w:themeColor="text1"/>
        </w:rPr>
        <w:lastRenderedPageBreak/>
        <w:t xml:space="preserve">Tabla </w:t>
      </w:r>
      <w:r w:rsidR="00EB2A66">
        <w:rPr>
          <w:b/>
          <w:bCs/>
          <w:color w:val="000000" w:themeColor="text1"/>
        </w:rPr>
        <w:t>4</w:t>
      </w:r>
    </w:p>
    <w:p w14:paraId="341859F0" w14:textId="77777777" w:rsidR="001F0CA7" w:rsidRPr="002D4AB5" w:rsidRDefault="001F0CA7" w:rsidP="000E6382">
      <w:pPr>
        <w:spacing w:line="360" w:lineRule="auto"/>
        <w:jc w:val="both"/>
        <w:rPr>
          <w:i/>
          <w:iCs/>
          <w:color w:val="000000" w:themeColor="text1"/>
        </w:rPr>
      </w:pPr>
      <w:r>
        <w:rPr>
          <w:i/>
          <w:iCs/>
          <w:color w:val="000000" w:themeColor="text1"/>
        </w:rPr>
        <w:t>Percepción del impacto de competencia en la empleabilidad</w:t>
      </w:r>
    </w:p>
    <w:tbl>
      <w:tblPr>
        <w:tblW w:w="8647" w:type="dxa"/>
        <w:tblLayout w:type="fixed"/>
        <w:tblLook w:val="0400" w:firstRow="0" w:lastRow="0" w:firstColumn="0" w:lastColumn="0" w:noHBand="0" w:noVBand="1"/>
      </w:tblPr>
      <w:tblGrid>
        <w:gridCol w:w="3544"/>
        <w:gridCol w:w="2552"/>
        <w:gridCol w:w="2551"/>
      </w:tblGrid>
      <w:tr w:rsidR="001F0CA7" w:rsidRPr="002D4AB5" w14:paraId="1E9FB34F" w14:textId="77777777" w:rsidTr="009B1EB4">
        <w:tc>
          <w:tcPr>
            <w:tcW w:w="3544" w:type="dxa"/>
            <w:tcBorders>
              <w:top w:val="single" w:sz="4" w:space="0" w:color="auto"/>
              <w:bottom w:val="single" w:sz="4" w:space="0" w:color="auto"/>
            </w:tcBorders>
          </w:tcPr>
          <w:p w14:paraId="253F14DF" w14:textId="77777777" w:rsidR="001F0CA7" w:rsidRPr="002D4AB5" w:rsidRDefault="001F0CA7" w:rsidP="000E6382">
            <w:pPr>
              <w:spacing w:line="360" w:lineRule="auto"/>
              <w:jc w:val="center"/>
              <w:rPr>
                <w:color w:val="000000" w:themeColor="text1"/>
                <w:sz w:val="18"/>
                <w:szCs w:val="18"/>
              </w:rPr>
            </w:pPr>
          </w:p>
        </w:tc>
        <w:tc>
          <w:tcPr>
            <w:tcW w:w="2552" w:type="dxa"/>
            <w:tcBorders>
              <w:top w:val="single" w:sz="4" w:space="0" w:color="auto"/>
              <w:bottom w:val="single" w:sz="4" w:space="0" w:color="auto"/>
            </w:tcBorders>
          </w:tcPr>
          <w:p w14:paraId="001069D6" w14:textId="77777777" w:rsidR="001F0CA7" w:rsidRPr="002D4AB5" w:rsidRDefault="001F0CA7" w:rsidP="000E6382">
            <w:pPr>
              <w:spacing w:line="360" w:lineRule="auto"/>
              <w:jc w:val="center"/>
              <w:rPr>
                <w:b/>
                <w:color w:val="000000" w:themeColor="text1"/>
                <w:sz w:val="18"/>
                <w:szCs w:val="18"/>
              </w:rPr>
            </w:pPr>
            <w:r w:rsidRPr="002D4AB5">
              <w:rPr>
                <w:b/>
                <w:color w:val="000000" w:themeColor="text1"/>
                <w:sz w:val="18"/>
                <w:szCs w:val="18"/>
              </w:rPr>
              <w:t>Competencia de mayor impacto en la empleabilidad</w:t>
            </w:r>
          </w:p>
        </w:tc>
        <w:tc>
          <w:tcPr>
            <w:tcW w:w="2551" w:type="dxa"/>
            <w:tcBorders>
              <w:top w:val="single" w:sz="4" w:space="0" w:color="auto"/>
              <w:bottom w:val="single" w:sz="4" w:space="0" w:color="auto"/>
            </w:tcBorders>
          </w:tcPr>
          <w:p w14:paraId="10B8DA69" w14:textId="77777777" w:rsidR="001F0CA7" w:rsidRPr="002D4AB5" w:rsidRDefault="001F0CA7" w:rsidP="000E6382">
            <w:pPr>
              <w:spacing w:line="360" w:lineRule="auto"/>
              <w:jc w:val="center"/>
              <w:rPr>
                <w:b/>
                <w:color w:val="000000" w:themeColor="text1"/>
                <w:sz w:val="18"/>
                <w:szCs w:val="18"/>
              </w:rPr>
            </w:pPr>
            <w:r w:rsidRPr="002D4AB5">
              <w:rPr>
                <w:b/>
                <w:color w:val="000000" w:themeColor="text1"/>
                <w:sz w:val="18"/>
                <w:szCs w:val="18"/>
              </w:rPr>
              <w:t>Competencia de m</w:t>
            </w:r>
            <w:r>
              <w:rPr>
                <w:b/>
                <w:color w:val="000000" w:themeColor="text1"/>
                <w:sz w:val="18"/>
                <w:szCs w:val="18"/>
              </w:rPr>
              <w:t>enor impacto en la empleabilidad</w:t>
            </w:r>
          </w:p>
        </w:tc>
      </w:tr>
      <w:tr w:rsidR="001F0CA7" w:rsidRPr="002D4AB5" w14:paraId="0F34B17D" w14:textId="77777777" w:rsidTr="009B1EB4">
        <w:tc>
          <w:tcPr>
            <w:tcW w:w="3544" w:type="dxa"/>
          </w:tcPr>
          <w:p w14:paraId="17135453" w14:textId="77519B98" w:rsidR="001F0CA7" w:rsidRPr="009B1EB4" w:rsidRDefault="001F0CA7" w:rsidP="000E6382">
            <w:pPr>
              <w:spacing w:line="360" w:lineRule="auto"/>
              <w:rPr>
                <w:color w:val="000000" w:themeColor="text1"/>
                <w:sz w:val="20"/>
                <w:szCs w:val="20"/>
              </w:rPr>
            </w:pPr>
            <w:r w:rsidRPr="009B1EB4">
              <w:rPr>
                <w:color w:val="000000" w:themeColor="text1"/>
                <w:sz w:val="20"/>
                <w:szCs w:val="20"/>
              </w:rPr>
              <w:t>Factor 1: Género (G)</w:t>
            </w:r>
            <w:r w:rsidR="009B1EB4">
              <w:rPr>
                <w:color w:val="000000" w:themeColor="text1"/>
                <w:sz w:val="20"/>
                <w:szCs w:val="20"/>
              </w:rPr>
              <w:t xml:space="preserve"> </w:t>
            </w:r>
            <w:r w:rsidRPr="009B1EB4">
              <w:rPr>
                <w:color w:val="000000" w:themeColor="text1"/>
                <w:sz w:val="20"/>
                <w:szCs w:val="20"/>
              </w:rPr>
              <w:t>Mujeres</w:t>
            </w:r>
          </w:p>
          <w:p w14:paraId="5B96B650" w14:textId="77777777" w:rsidR="001F0CA7" w:rsidRPr="009B1EB4" w:rsidRDefault="001F0CA7" w:rsidP="000E6382">
            <w:pPr>
              <w:spacing w:line="360" w:lineRule="auto"/>
              <w:rPr>
                <w:color w:val="000000" w:themeColor="text1"/>
                <w:sz w:val="20"/>
                <w:szCs w:val="20"/>
              </w:rPr>
            </w:pPr>
          </w:p>
        </w:tc>
        <w:tc>
          <w:tcPr>
            <w:tcW w:w="2552" w:type="dxa"/>
          </w:tcPr>
          <w:p w14:paraId="3FDD03D0" w14:textId="77777777" w:rsidR="001F0CA7" w:rsidRPr="009B1EB4" w:rsidRDefault="001F0CA7" w:rsidP="000E6382">
            <w:pPr>
              <w:spacing w:line="360" w:lineRule="auto"/>
              <w:rPr>
                <w:color w:val="000000" w:themeColor="text1"/>
                <w:sz w:val="20"/>
                <w:szCs w:val="20"/>
              </w:rPr>
            </w:pPr>
            <w:r w:rsidRPr="009B1EB4">
              <w:rPr>
                <w:color w:val="000000" w:themeColor="text1"/>
                <w:sz w:val="20"/>
                <w:szCs w:val="20"/>
              </w:rPr>
              <w:t xml:space="preserve">Personal, social y de aprender a aprender </w:t>
            </w:r>
          </w:p>
        </w:tc>
        <w:tc>
          <w:tcPr>
            <w:tcW w:w="2551" w:type="dxa"/>
          </w:tcPr>
          <w:p w14:paraId="1CE819DB" w14:textId="77777777" w:rsidR="001F0CA7" w:rsidRPr="009B1EB4" w:rsidRDefault="001F0CA7" w:rsidP="000E6382">
            <w:pPr>
              <w:spacing w:line="360" w:lineRule="auto"/>
              <w:rPr>
                <w:color w:val="000000" w:themeColor="text1"/>
                <w:sz w:val="20"/>
                <w:szCs w:val="20"/>
              </w:rPr>
            </w:pPr>
            <w:r w:rsidRPr="009B1EB4">
              <w:rPr>
                <w:color w:val="000000" w:themeColor="text1"/>
                <w:sz w:val="20"/>
                <w:szCs w:val="20"/>
              </w:rPr>
              <w:t>Lectoescritura</w:t>
            </w:r>
          </w:p>
        </w:tc>
      </w:tr>
      <w:tr w:rsidR="001F0CA7" w:rsidRPr="002D4AB5" w14:paraId="1DB892C3" w14:textId="77777777" w:rsidTr="009B1EB4">
        <w:tc>
          <w:tcPr>
            <w:tcW w:w="3544" w:type="dxa"/>
          </w:tcPr>
          <w:p w14:paraId="09A89AB9" w14:textId="56FD6373" w:rsidR="001F0CA7" w:rsidRPr="009B1EB4" w:rsidRDefault="001F0CA7" w:rsidP="000E6382">
            <w:pPr>
              <w:spacing w:line="360" w:lineRule="auto"/>
              <w:rPr>
                <w:color w:val="000000" w:themeColor="text1"/>
                <w:sz w:val="20"/>
                <w:szCs w:val="20"/>
              </w:rPr>
            </w:pPr>
            <w:r w:rsidRPr="009B1EB4">
              <w:rPr>
                <w:color w:val="000000" w:themeColor="text1"/>
                <w:sz w:val="20"/>
                <w:szCs w:val="20"/>
              </w:rPr>
              <w:t>Factor 1: Género (G)</w:t>
            </w:r>
            <w:r w:rsidR="009B1EB4">
              <w:rPr>
                <w:color w:val="000000" w:themeColor="text1"/>
                <w:sz w:val="20"/>
                <w:szCs w:val="20"/>
              </w:rPr>
              <w:t xml:space="preserve"> </w:t>
            </w:r>
            <w:r w:rsidRPr="009B1EB4">
              <w:rPr>
                <w:color w:val="000000" w:themeColor="text1"/>
                <w:sz w:val="20"/>
                <w:szCs w:val="20"/>
              </w:rPr>
              <w:t>Hombres</w:t>
            </w:r>
          </w:p>
          <w:p w14:paraId="24445565" w14:textId="77777777" w:rsidR="001F0CA7" w:rsidRPr="009B1EB4" w:rsidRDefault="001F0CA7" w:rsidP="000E6382">
            <w:pPr>
              <w:spacing w:line="360" w:lineRule="auto"/>
              <w:rPr>
                <w:color w:val="000000" w:themeColor="text1"/>
                <w:sz w:val="20"/>
                <w:szCs w:val="20"/>
              </w:rPr>
            </w:pPr>
          </w:p>
        </w:tc>
        <w:tc>
          <w:tcPr>
            <w:tcW w:w="2552" w:type="dxa"/>
          </w:tcPr>
          <w:p w14:paraId="6C8CC148" w14:textId="77777777" w:rsidR="001F0CA7" w:rsidRPr="009B1EB4" w:rsidRDefault="001F0CA7" w:rsidP="000E6382">
            <w:pPr>
              <w:spacing w:line="360" w:lineRule="auto"/>
              <w:rPr>
                <w:color w:val="000000" w:themeColor="text1"/>
                <w:sz w:val="20"/>
                <w:szCs w:val="20"/>
              </w:rPr>
            </w:pPr>
            <w:r w:rsidRPr="009B1EB4">
              <w:rPr>
                <w:color w:val="000000" w:themeColor="text1"/>
                <w:sz w:val="20"/>
                <w:szCs w:val="20"/>
              </w:rPr>
              <w:t>Digital</w:t>
            </w:r>
          </w:p>
        </w:tc>
        <w:tc>
          <w:tcPr>
            <w:tcW w:w="2551" w:type="dxa"/>
          </w:tcPr>
          <w:p w14:paraId="6EDFCCD5" w14:textId="77777777" w:rsidR="001F0CA7" w:rsidRPr="009B1EB4" w:rsidRDefault="001F0CA7" w:rsidP="000E6382">
            <w:pPr>
              <w:spacing w:line="360" w:lineRule="auto"/>
              <w:rPr>
                <w:color w:val="000000" w:themeColor="text1"/>
                <w:sz w:val="20"/>
                <w:szCs w:val="20"/>
              </w:rPr>
            </w:pPr>
            <w:r w:rsidRPr="009B1EB4">
              <w:rPr>
                <w:color w:val="000000" w:themeColor="text1"/>
                <w:sz w:val="20"/>
                <w:szCs w:val="20"/>
              </w:rPr>
              <w:t>Ciudadana</w:t>
            </w:r>
          </w:p>
          <w:p w14:paraId="1AC1F3F4" w14:textId="77777777" w:rsidR="001F0CA7" w:rsidRPr="009B1EB4" w:rsidRDefault="001F0CA7" w:rsidP="000E6382">
            <w:pPr>
              <w:spacing w:line="360" w:lineRule="auto"/>
              <w:rPr>
                <w:color w:val="000000" w:themeColor="text1"/>
                <w:sz w:val="20"/>
                <w:szCs w:val="20"/>
              </w:rPr>
            </w:pPr>
          </w:p>
        </w:tc>
      </w:tr>
      <w:tr w:rsidR="001F0CA7" w:rsidRPr="002D4AB5" w14:paraId="3CBE6DCD" w14:textId="77777777" w:rsidTr="009B1EB4">
        <w:tc>
          <w:tcPr>
            <w:tcW w:w="3544" w:type="dxa"/>
          </w:tcPr>
          <w:p w14:paraId="799957DD" w14:textId="2CF58848" w:rsidR="001F0CA7" w:rsidRPr="009B1EB4" w:rsidRDefault="001F0CA7" w:rsidP="000E6382">
            <w:pPr>
              <w:spacing w:line="360" w:lineRule="auto"/>
              <w:rPr>
                <w:color w:val="000000" w:themeColor="text1"/>
                <w:sz w:val="20"/>
                <w:szCs w:val="20"/>
              </w:rPr>
            </w:pPr>
            <w:r w:rsidRPr="009B1EB4">
              <w:rPr>
                <w:color w:val="000000" w:themeColor="text1"/>
                <w:sz w:val="20"/>
                <w:szCs w:val="20"/>
              </w:rPr>
              <w:t>Factor 2: País en el que estudia (P)</w:t>
            </w:r>
            <w:r w:rsidR="009B1EB4">
              <w:rPr>
                <w:color w:val="000000" w:themeColor="text1"/>
                <w:sz w:val="20"/>
                <w:szCs w:val="20"/>
              </w:rPr>
              <w:t xml:space="preserve"> </w:t>
            </w:r>
            <w:r w:rsidRPr="009B1EB4">
              <w:rPr>
                <w:color w:val="000000" w:themeColor="text1"/>
                <w:sz w:val="20"/>
                <w:szCs w:val="20"/>
              </w:rPr>
              <w:t>Colombia</w:t>
            </w:r>
          </w:p>
        </w:tc>
        <w:tc>
          <w:tcPr>
            <w:tcW w:w="2552" w:type="dxa"/>
          </w:tcPr>
          <w:p w14:paraId="0ACCC3D5" w14:textId="77777777" w:rsidR="001F0CA7" w:rsidRPr="009B1EB4" w:rsidRDefault="001F0CA7" w:rsidP="000E6382">
            <w:pPr>
              <w:spacing w:line="360" w:lineRule="auto"/>
              <w:rPr>
                <w:color w:val="000000" w:themeColor="text1"/>
                <w:sz w:val="20"/>
                <w:szCs w:val="20"/>
              </w:rPr>
            </w:pPr>
            <w:r w:rsidRPr="009B1EB4">
              <w:rPr>
                <w:color w:val="000000" w:themeColor="text1"/>
                <w:sz w:val="20"/>
                <w:szCs w:val="20"/>
              </w:rPr>
              <w:t>Digital</w:t>
            </w:r>
          </w:p>
        </w:tc>
        <w:tc>
          <w:tcPr>
            <w:tcW w:w="2551" w:type="dxa"/>
          </w:tcPr>
          <w:p w14:paraId="6C81704F" w14:textId="77777777" w:rsidR="001F0CA7" w:rsidRPr="009B1EB4" w:rsidRDefault="001F0CA7" w:rsidP="000E6382">
            <w:pPr>
              <w:spacing w:line="360" w:lineRule="auto"/>
              <w:rPr>
                <w:color w:val="000000" w:themeColor="text1"/>
                <w:sz w:val="20"/>
                <w:szCs w:val="20"/>
              </w:rPr>
            </w:pPr>
            <w:r w:rsidRPr="009B1EB4">
              <w:rPr>
                <w:color w:val="000000" w:themeColor="text1"/>
                <w:sz w:val="20"/>
                <w:szCs w:val="20"/>
              </w:rPr>
              <w:t>Conciencia y expresión culturales</w:t>
            </w:r>
          </w:p>
        </w:tc>
      </w:tr>
      <w:tr w:rsidR="001F0CA7" w:rsidRPr="002D4AB5" w14:paraId="087E1178" w14:textId="77777777" w:rsidTr="009B1EB4">
        <w:tc>
          <w:tcPr>
            <w:tcW w:w="3544" w:type="dxa"/>
            <w:tcBorders>
              <w:bottom w:val="single" w:sz="4" w:space="0" w:color="auto"/>
            </w:tcBorders>
          </w:tcPr>
          <w:p w14:paraId="12D26257" w14:textId="7D3A2ABD" w:rsidR="001F0CA7" w:rsidRPr="009B1EB4" w:rsidRDefault="001F0CA7" w:rsidP="009B1EB4">
            <w:pPr>
              <w:spacing w:line="360" w:lineRule="auto"/>
              <w:rPr>
                <w:color w:val="000000" w:themeColor="text1"/>
                <w:sz w:val="20"/>
                <w:szCs w:val="20"/>
              </w:rPr>
            </w:pPr>
            <w:r w:rsidRPr="009B1EB4">
              <w:rPr>
                <w:color w:val="000000" w:themeColor="text1"/>
                <w:sz w:val="20"/>
                <w:szCs w:val="20"/>
              </w:rPr>
              <w:t>Factor 2: País en el que estudia (P)</w:t>
            </w:r>
            <w:r w:rsidR="009B1EB4">
              <w:rPr>
                <w:color w:val="000000" w:themeColor="text1"/>
                <w:sz w:val="20"/>
                <w:szCs w:val="20"/>
              </w:rPr>
              <w:t xml:space="preserve"> </w:t>
            </w:r>
            <w:r w:rsidRPr="009B1EB4">
              <w:rPr>
                <w:color w:val="000000" w:themeColor="text1"/>
                <w:sz w:val="20"/>
                <w:szCs w:val="20"/>
              </w:rPr>
              <w:t>México</w:t>
            </w:r>
          </w:p>
        </w:tc>
        <w:tc>
          <w:tcPr>
            <w:tcW w:w="2552" w:type="dxa"/>
            <w:tcBorders>
              <w:bottom w:val="single" w:sz="4" w:space="0" w:color="auto"/>
            </w:tcBorders>
          </w:tcPr>
          <w:p w14:paraId="2C134D6B" w14:textId="77777777" w:rsidR="001F0CA7" w:rsidRPr="009B1EB4" w:rsidRDefault="001F0CA7" w:rsidP="000E6382">
            <w:pPr>
              <w:spacing w:line="360" w:lineRule="auto"/>
              <w:rPr>
                <w:color w:val="000000" w:themeColor="text1"/>
                <w:sz w:val="20"/>
                <w:szCs w:val="20"/>
              </w:rPr>
            </w:pPr>
            <w:r w:rsidRPr="009B1EB4">
              <w:rPr>
                <w:color w:val="000000" w:themeColor="text1"/>
                <w:sz w:val="20"/>
                <w:szCs w:val="20"/>
              </w:rPr>
              <w:t>Personal, social y de aprender a aprender</w:t>
            </w:r>
          </w:p>
        </w:tc>
        <w:tc>
          <w:tcPr>
            <w:tcW w:w="2551" w:type="dxa"/>
            <w:tcBorders>
              <w:bottom w:val="single" w:sz="4" w:space="0" w:color="auto"/>
            </w:tcBorders>
          </w:tcPr>
          <w:p w14:paraId="7B8DC2FB" w14:textId="77777777" w:rsidR="001F0CA7" w:rsidRPr="009B1EB4" w:rsidRDefault="001F0CA7" w:rsidP="000E6382">
            <w:pPr>
              <w:spacing w:line="360" w:lineRule="auto"/>
              <w:rPr>
                <w:color w:val="000000" w:themeColor="text1"/>
                <w:sz w:val="20"/>
                <w:szCs w:val="20"/>
              </w:rPr>
            </w:pPr>
            <w:r w:rsidRPr="009B1EB4">
              <w:rPr>
                <w:color w:val="000000" w:themeColor="text1"/>
                <w:sz w:val="20"/>
                <w:szCs w:val="20"/>
              </w:rPr>
              <w:t>Ciudadana</w:t>
            </w:r>
          </w:p>
        </w:tc>
      </w:tr>
    </w:tbl>
    <w:p w14:paraId="6770ECDA" w14:textId="77777777" w:rsidR="001F0CA7" w:rsidRDefault="001F0CA7" w:rsidP="000E6382">
      <w:pPr>
        <w:spacing w:line="360" w:lineRule="auto"/>
      </w:pPr>
      <w:r w:rsidRPr="002D4AB5">
        <w:rPr>
          <w:i/>
          <w:iCs/>
          <w:color w:val="000000" w:themeColor="text1"/>
          <w:sz w:val="20"/>
          <w:szCs w:val="20"/>
        </w:rPr>
        <w:t>Fuente: Elaboración por las autoras</w:t>
      </w:r>
    </w:p>
    <w:p w14:paraId="774876C1" w14:textId="3200CD3D" w:rsidR="001F0CA7" w:rsidRDefault="001F0CA7" w:rsidP="000E6382">
      <w:pPr>
        <w:spacing w:line="360" w:lineRule="auto"/>
      </w:pPr>
    </w:p>
    <w:p w14:paraId="3C6780F4" w14:textId="656A7EAE" w:rsidR="00642BF1" w:rsidRPr="001F0CA7" w:rsidRDefault="00287F24" w:rsidP="000E6382">
      <w:pPr>
        <w:spacing w:line="360" w:lineRule="auto"/>
        <w:jc w:val="both"/>
        <w:rPr>
          <w:szCs w:val="20"/>
        </w:rPr>
      </w:pPr>
      <w:r>
        <w:t xml:space="preserve">Es interesante </w:t>
      </w:r>
      <w:r w:rsidR="007437BD">
        <w:t>ver l</w:t>
      </w:r>
      <w:r w:rsidR="007437BD" w:rsidRPr="007437BD">
        <w:t xml:space="preserve">a </w:t>
      </w:r>
      <w:r w:rsidR="007437BD" w:rsidRPr="007437BD">
        <w:rPr>
          <w:b/>
        </w:rPr>
        <w:t xml:space="preserve">Figura </w:t>
      </w:r>
      <w:r w:rsidR="007437BD">
        <w:rPr>
          <w:b/>
        </w:rPr>
        <w:t>2</w:t>
      </w:r>
      <w:r w:rsidR="007437BD">
        <w:t>; donde se puede</w:t>
      </w:r>
      <w:r w:rsidR="007437BD" w:rsidRPr="007437BD">
        <w:t xml:space="preserve"> </w:t>
      </w:r>
      <w:r>
        <w:t xml:space="preserve">identificar que las dispersiones </w:t>
      </w:r>
      <w:r w:rsidR="007437BD">
        <w:t>en</w:t>
      </w:r>
      <w:r w:rsidR="00EF7F9C">
        <w:t xml:space="preserve"> </w:t>
      </w:r>
      <w:r w:rsidR="004B20C5">
        <w:t xml:space="preserve">el factor de </w:t>
      </w:r>
      <w:r w:rsidR="00EF7F9C">
        <w:t xml:space="preserve">la competencia </w:t>
      </w:r>
      <w:r w:rsidR="004B20C5" w:rsidRPr="004B20C5">
        <w:rPr>
          <w:i/>
        </w:rPr>
        <w:t>digital</w:t>
      </w:r>
      <w:r w:rsidR="004B20C5">
        <w:t xml:space="preserve"> </w:t>
      </w:r>
      <w:r w:rsidR="00642BF1">
        <w:rPr>
          <w:szCs w:val="20"/>
        </w:rPr>
        <w:t xml:space="preserve">en el </w:t>
      </w:r>
      <w:r w:rsidR="00642BF1" w:rsidRPr="00287F24">
        <w:rPr>
          <w:szCs w:val="20"/>
        </w:rPr>
        <w:t>impacto en la empleabilidad</w:t>
      </w:r>
      <w:r w:rsidR="004B20C5">
        <w:rPr>
          <w:szCs w:val="20"/>
        </w:rPr>
        <w:t>,</w:t>
      </w:r>
      <w:r w:rsidR="00642BF1" w:rsidRPr="00287F24">
        <w:rPr>
          <w:szCs w:val="20"/>
        </w:rPr>
        <w:t xml:space="preserve"> </w:t>
      </w:r>
      <w:r w:rsidR="004B20C5" w:rsidRPr="001F0CA7">
        <w:rPr>
          <w:b/>
          <w:szCs w:val="20"/>
        </w:rPr>
        <w:t>IE</w:t>
      </w:r>
      <w:r w:rsidR="004B20C5">
        <w:rPr>
          <w:b/>
          <w:szCs w:val="20"/>
        </w:rPr>
        <w:t xml:space="preserve">4; </w:t>
      </w:r>
      <w:r w:rsidR="007437BD">
        <w:rPr>
          <w:szCs w:val="20"/>
        </w:rPr>
        <w:t xml:space="preserve">del subgrupo género y el subgrupo </w:t>
      </w:r>
      <w:r w:rsidR="004B20C5">
        <w:rPr>
          <w:szCs w:val="20"/>
        </w:rPr>
        <w:t>por país en el que estudian,</w:t>
      </w:r>
      <w:r w:rsidR="007437BD">
        <w:rPr>
          <w:szCs w:val="20"/>
        </w:rPr>
        <w:t xml:space="preserve"> fue muy </w:t>
      </w:r>
      <w:r w:rsidR="004B20C5">
        <w:rPr>
          <w:szCs w:val="20"/>
        </w:rPr>
        <w:t>similar</w:t>
      </w:r>
      <w:r w:rsidR="007437BD">
        <w:rPr>
          <w:szCs w:val="20"/>
        </w:rPr>
        <w:t>.</w:t>
      </w:r>
    </w:p>
    <w:p w14:paraId="583082DF" w14:textId="23A6F0CC" w:rsidR="001F0CA7" w:rsidRDefault="00EF7F9C" w:rsidP="000E6382">
      <w:pPr>
        <w:spacing w:line="360" w:lineRule="auto"/>
      </w:pPr>
      <w:r>
        <w:rPr>
          <w:noProof/>
          <w:lang w:val="es-MX" w:eastAsia="es-MX"/>
        </w:rPr>
        <w:drawing>
          <wp:inline distT="0" distB="0" distL="0" distR="0" wp14:anchorId="4F9613CD" wp14:editId="71B2874A">
            <wp:extent cx="2402205" cy="194500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2205" cy="1945005"/>
                    </a:xfrm>
                    <a:prstGeom prst="rect">
                      <a:avLst/>
                    </a:prstGeom>
                    <a:noFill/>
                  </pic:spPr>
                </pic:pic>
              </a:graphicData>
            </a:graphic>
          </wp:inline>
        </w:drawing>
      </w:r>
      <w:r>
        <w:rPr>
          <w:noProof/>
          <w:lang w:val="es-MX" w:eastAsia="es-MX"/>
        </w:rPr>
        <w:drawing>
          <wp:inline distT="0" distB="0" distL="0" distR="0" wp14:anchorId="754DCA18" wp14:editId="444EF201">
            <wp:extent cx="2435053" cy="1944000"/>
            <wp:effectExtent l="0" t="0" r="381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35053" cy="1944000"/>
                    </a:xfrm>
                    <a:prstGeom prst="rect">
                      <a:avLst/>
                    </a:prstGeom>
                  </pic:spPr>
                </pic:pic>
              </a:graphicData>
            </a:graphic>
          </wp:inline>
        </w:drawing>
      </w:r>
    </w:p>
    <w:p w14:paraId="41449021" w14:textId="636B55CC" w:rsidR="007437BD" w:rsidRPr="00DA114B" w:rsidRDefault="007437BD" w:rsidP="000E6382">
      <w:pPr>
        <w:spacing w:line="360" w:lineRule="auto"/>
        <w:jc w:val="center"/>
        <w:rPr>
          <w:sz w:val="20"/>
          <w:szCs w:val="20"/>
        </w:rPr>
      </w:pPr>
      <w:r w:rsidRPr="00DA114B">
        <w:rPr>
          <w:b/>
          <w:i/>
          <w:sz w:val="20"/>
          <w:szCs w:val="20"/>
        </w:rPr>
        <w:t xml:space="preserve">Figura </w:t>
      </w:r>
      <w:r>
        <w:rPr>
          <w:b/>
          <w:i/>
          <w:sz w:val="20"/>
          <w:szCs w:val="20"/>
        </w:rPr>
        <w:t>2</w:t>
      </w:r>
      <w:r w:rsidRPr="00DA114B">
        <w:rPr>
          <w:sz w:val="20"/>
          <w:szCs w:val="20"/>
        </w:rPr>
        <w:t>, Distribución de</w:t>
      </w:r>
      <w:r w:rsidR="00917A5F">
        <w:rPr>
          <w:sz w:val="20"/>
          <w:szCs w:val="20"/>
        </w:rPr>
        <w:t>l factor</w:t>
      </w:r>
      <w:r w:rsidRPr="00DA114B">
        <w:rPr>
          <w:sz w:val="20"/>
          <w:szCs w:val="20"/>
        </w:rPr>
        <w:t xml:space="preserve"> </w:t>
      </w:r>
      <w:r w:rsidRPr="00917A5F">
        <w:rPr>
          <w:i/>
          <w:sz w:val="20"/>
          <w:szCs w:val="20"/>
        </w:rPr>
        <w:t>digital</w:t>
      </w:r>
      <w:r w:rsidRPr="00DA114B">
        <w:rPr>
          <w:sz w:val="20"/>
          <w:szCs w:val="20"/>
        </w:rPr>
        <w:t>.</w:t>
      </w:r>
    </w:p>
    <w:p w14:paraId="7E5A0DAA" w14:textId="77777777" w:rsidR="007437BD" w:rsidRPr="00DA114B" w:rsidRDefault="007437BD" w:rsidP="000E6382">
      <w:pPr>
        <w:spacing w:line="360" w:lineRule="auto"/>
        <w:jc w:val="center"/>
        <w:rPr>
          <w:sz w:val="20"/>
          <w:szCs w:val="20"/>
        </w:rPr>
      </w:pPr>
      <w:r w:rsidRPr="00DA114B">
        <w:rPr>
          <w:i/>
          <w:sz w:val="20"/>
          <w:szCs w:val="20"/>
        </w:rPr>
        <w:t>Fuente:</w:t>
      </w:r>
      <w:r w:rsidRPr="00DA114B">
        <w:rPr>
          <w:sz w:val="20"/>
          <w:szCs w:val="20"/>
        </w:rPr>
        <w:t xml:space="preserve"> Elaboración de las autoras</w:t>
      </w:r>
    </w:p>
    <w:p w14:paraId="6EE38B78" w14:textId="5943BE32" w:rsidR="007437BD" w:rsidRDefault="007437BD" w:rsidP="000E6382">
      <w:pPr>
        <w:spacing w:line="360" w:lineRule="auto"/>
        <w:jc w:val="both"/>
      </w:pPr>
      <w:r>
        <w:t xml:space="preserve">La </w:t>
      </w:r>
      <w:r w:rsidRPr="00287F24">
        <w:rPr>
          <w:b/>
        </w:rPr>
        <w:t xml:space="preserve">Figura </w:t>
      </w:r>
      <w:r>
        <w:rPr>
          <w:b/>
        </w:rPr>
        <w:t>3</w:t>
      </w:r>
      <w:r>
        <w:t xml:space="preserve">, muestra la distribución de las respuestas de la competencia en el impacto de la empleabilidad; factor </w:t>
      </w:r>
      <w:r w:rsidRPr="00917A5F">
        <w:rPr>
          <w:i/>
        </w:rPr>
        <w:t>personal, social y de aprender a aprender</w:t>
      </w:r>
      <w:r>
        <w:t xml:space="preserve">, tanto desde la perspectiva de género como del país en que estudia. Se puede observar que el comportamiento de la gráfica de dispersión </w:t>
      </w:r>
      <w:r w:rsidRPr="00642BF1">
        <w:t xml:space="preserve">en el impacto en la empleabilidad </w:t>
      </w:r>
      <w:r>
        <w:t xml:space="preserve">desde la perspectiva de mujeres es similar a la gráfica de dispersión </w:t>
      </w:r>
      <w:r w:rsidRPr="00642BF1">
        <w:t xml:space="preserve">en el impacto en la empleabilidad </w:t>
      </w:r>
      <w:r>
        <w:t xml:space="preserve">desde el país </w:t>
      </w:r>
      <w:r w:rsidRPr="00642BF1">
        <w:t>en que estudia</w:t>
      </w:r>
      <w:r>
        <w:t>,</w:t>
      </w:r>
      <w:r w:rsidRPr="00642BF1">
        <w:t xml:space="preserve"> </w:t>
      </w:r>
      <w:r w:rsidR="00F92ED7">
        <w:t xml:space="preserve">México. </w:t>
      </w:r>
      <w:r>
        <w:t xml:space="preserve">Este mismo factor, tiene una </w:t>
      </w:r>
      <w:r>
        <w:lastRenderedPageBreak/>
        <w:t xml:space="preserve">dispersión muy parecida desde la perspectiva de hombres y el país en que estudia, </w:t>
      </w:r>
      <w:r w:rsidRPr="00642BF1">
        <w:t>Colombia</w:t>
      </w:r>
      <w:r>
        <w:t xml:space="preserve">. </w:t>
      </w:r>
    </w:p>
    <w:p w14:paraId="46624865" w14:textId="6DC30C58" w:rsidR="008778A1" w:rsidRDefault="008778A1" w:rsidP="000E6382">
      <w:pPr>
        <w:spacing w:line="360" w:lineRule="auto"/>
      </w:pPr>
      <w:r>
        <w:rPr>
          <w:noProof/>
          <w:lang w:val="es-MX" w:eastAsia="es-MX"/>
        </w:rPr>
        <w:drawing>
          <wp:inline distT="0" distB="0" distL="0" distR="0" wp14:anchorId="6EBD8294" wp14:editId="21B04361">
            <wp:extent cx="2517254" cy="1944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7254" cy="1944000"/>
                    </a:xfrm>
                    <a:prstGeom prst="rect">
                      <a:avLst/>
                    </a:prstGeom>
                  </pic:spPr>
                </pic:pic>
              </a:graphicData>
            </a:graphic>
          </wp:inline>
        </w:drawing>
      </w:r>
      <w:r>
        <w:t xml:space="preserve">   </w:t>
      </w:r>
      <w:r>
        <w:rPr>
          <w:noProof/>
          <w:lang w:val="es-MX" w:eastAsia="es-MX"/>
        </w:rPr>
        <w:drawing>
          <wp:inline distT="0" distB="0" distL="0" distR="0" wp14:anchorId="02C5487C" wp14:editId="37A9C186">
            <wp:extent cx="2453734" cy="1944000"/>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53734" cy="1944000"/>
                    </a:xfrm>
                    <a:prstGeom prst="rect">
                      <a:avLst/>
                    </a:prstGeom>
                  </pic:spPr>
                </pic:pic>
              </a:graphicData>
            </a:graphic>
          </wp:inline>
        </w:drawing>
      </w:r>
    </w:p>
    <w:p w14:paraId="3E529D73" w14:textId="0D21327C" w:rsidR="007437BD" w:rsidRPr="00DA114B" w:rsidRDefault="007437BD" w:rsidP="000E6382">
      <w:pPr>
        <w:spacing w:line="360" w:lineRule="auto"/>
        <w:jc w:val="center"/>
        <w:rPr>
          <w:sz w:val="20"/>
          <w:szCs w:val="20"/>
        </w:rPr>
      </w:pPr>
      <w:r w:rsidRPr="00DA114B">
        <w:rPr>
          <w:b/>
          <w:i/>
          <w:sz w:val="20"/>
          <w:szCs w:val="20"/>
        </w:rPr>
        <w:t xml:space="preserve">Figura </w:t>
      </w:r>
      <w:r>
        <w:rPr>
          <w:b/>
          <w:i/>
          <w:sz w:val="20"/>
          <w:szCs w:val="20"/>
        </w:rPr>
        <w:t>3</w:t>
      </w:r>
      <w:r w:rsidR="00917A5F">
        <w:rPr>
          <w:sz w:val="20"/>
          <w:szCs w:val="20"/>
        </w:rPr>
        <w:t>:</w:t>
      </w:r>
      <w:r w:rsidRPr="00DA114B">
        <w:rPr>
          <w:sz w:val="20"/>
          <w:szCs w:val="20"/>
        </w:rPr>
        <w:t xml:space="preserve"> Distribución de</w:t>
      </w:r>
      <w:r w:rsidR="00917A5F">
        <w:rPr>
          <w:sz w:val="20"/>
          <w:szCs w:val="20"/>
        </w:rPr>
        <w:t xml:space="preserve">l factor </w:t>
      </w:r>
      <w:r w:rsidRPr="00917A5F">
        <w:rPr>
          <w:i/>
          <w:sz w:val="20"/>
          <w:szCs w:val="20"/>
        </w:rPr>
        <w:t>personal, social y de aprender a aprender</w:t>
      </w:r>
      <w:r w:rsidRPr="00DA114B">
        <w:rPr>
          <w:sz w:val="20"/>
          <w:szCs w:val="20"/>
        </w:rPr>
        <w:t>.</w:t>
      </w:r>
    </w:p>
    <w:p w14:paraId="026F0838" w14:textId="77777777" w:rsidR="007437BD" w:rsidRPr="00DA114B" w:rsidRDefault="007437BD" w:rsidP="000E6382">
      <w:pPr>
        <w:spacing w:line="360" w:lineRule="auto"/>
        <w:jc w:val="center"/>
        <w:rPr>
          <w:sz w:val="20"/>
          <w:szCs w:val="20"/>
        </w:rPr>
      </w:pPr>
      <w:r w:rsidRPr="00DA114B">
        <w:rPr>
          <w:i/>
          <w:sz w:val="20"/>
          <w:szCs w:val="20"/>
        </w:rPr>
        <w:t>Fuente:</w:t>
      </w:r>
      <w:r w:rsidRPr="00DA114B">
        <w:rPr>
          <w:sz w:val="20"/>
          <w:szCs w:val="20"/>
        </w:rPr>
        <w:t xml:space="preserve"> Elaboración de las autoras</w:t>
      </w:r>
    </w:p>
    <w:p w14:paraId="2A9CCEFF" w14:textId="727D8CFC" w:rsidR="005C1920" w:rsidRPr="00B60952" w:rsidRDefault="00B60952" w:rsidP="000E6382">
      <w:pPr>
        <w:spacing w:line="360" w:lineRule="auto"/>
        <w:rPr>
          <w:b/>
          <w:color w:val="244061"/>
          <w:sz w:val="28"/>
        </w:rPr>
      </w:pPr>
      <w:r>
        <w:rPr>
          <w:b/>
          <w:color w:val="244061"/>
          <w:sz w:val="28"/>
        </w:rPr>
        <w:t>5</w:t>
      </w:r>
      <w:r w:rsidR="005C1920" w:rsidRPr="00B60952">
        <w:rPr>
          <w:b/>
          <w:color w:val="244061"/>
          <w:sz w:val="28"/>
        </w:rPr>
        <w:t>. Conclusiones</w:t>
      </w:r>
      <w:r>
        <w:rPr>
          <w:b/>
          <w:color w:val="244061"/>
          <w:sz w:val="28"/>
        </w:rPr>
        <w:t xml:space="preserve"> </w:t>
      </w:r>
    </w:p>
    <w:p w14:paraId="119D3954" w14:textId="49B9375F" w:rsidR="00790971" w:rsidRPr="00060CE7" w:rsidRDefault="00790971" w:rsidP="000E6382">
      <w:pPr>
        <w:spacing w:line="360" w:lineRule="auto"/>
        <w:jc w:val="both"/>
        <w:rPr>
          <w:szCs w:val="20"/>
        </w:rPr>
      </w:pPr>
      <w:r>
        <w:rPr>
          <w:szCs w:val="20"/>
        </w:rPr>
        <w:t xml:space="preserve">Los resultados de la presente investigación indican </w:t>
      </w:r>
      <w:r w:rsidR="00B30A65">
        <w:rPr>
          <w:szCs w:val="20"/>
        </w:rPr>
        <w:t>que,</w:t>
      </w:r>
      <w:r>
        <w:rPr>
          <w:szCs w:val="20"/>
        </w:rPr>
        <w:t xml:space="preserve"> si e</w:t>
      </w:r>
      <w:r w:rsidRPr="006779EF">
        <w:rPr>
          <w:szCs w:val="20"/>
        </w:rPr>
        <w:t xml:space="preserve">xisten diferencias significativas en la competencia percibida como de mayor impacto en la empleabilidad por los estudiantes </w:t>
      </w:r>
      <w:r>
        <w:rPr>
          <w:szCs w:val="20"/>
        </w:rPr>
        <w:t xml:space="preserve">desde la perspectiva </w:t>
      </w:r>
      <w:r w:rsidRPr="006779EF">
        <w:rPr>
          <w:szCs w:val="20"/>
        </w:rPr>
        <w:t xml:space="preserve">de </w:t>
      </w:r>
      <w:r>
        <w:rPr>
          <w:szCs w:val="20"/>
        </w:rPr>
        <w:t xml:space="preserve">género, dado que para las mujeres la competencia de mayor impacto en la empleabilidad fue la </w:t>
      </w:r>
      <w:r>
        <w:rPr>
          <w:i/>
          <w:szCs w:val="20"/>
        </w:rPr>
        <w:t>p</w:t>
      </w:r>
      <w:r w:rsidRPr="00790971">
        <w:rPr>
          <w:i/>
          <w:szCs w:val="20"/>
        </w:rPr>
        <w:t>ersonal, social y de aprender a aprender</w:t>
      </w:r>
      <w:r>
        <w:rPr>
          <w:szCs w:val="20"/>
        </w:rPr>
        <w:t xml:space="preserve">, </w:t>
      </w:r>
      <w:r w:rsidR="00F0761A">
        <w:rPr>
          <w:szCs w:val="20"/>
        </w:rPr>
        <w:t>y</w:t>
      </w:r>
      <w:r>
        <w:rPr>
          <w:szCs w:val="20"/>
        </w:rPr>
        <w:t xml:space="preserve"> para los hombres</w:t>
      </w:r>
      <w:r w:rsidR="00F0761A">
        <w:rPr>
          <w:szCs w:val="20"/>
        </w:rPr>
        <w:t>,</w:t>
      </w:r>
      <w:r>
        <w:rPr>
          <w:szCs w:val="20"/>
        </w:rPr>
        <w:t xml:space="preserve"> fue la </w:t>
      </w:r>
      <w:r w:rsidRPr="00790971">
        <w:rPr>
          <w:i/>
          <w:szCs w:val="20"/>
        </w:rPr>
        <w:t>digital</w:t>
      </w:r>
      <w:r>
        <w:rPr>
          <w:szCs w:val="20"/>
        </w:rPr>
        <w:t>.</w:t>
      </w:r>
    </w:p>
    <w:p w14:paraId="57ACF8EC" w14:textId="77777777" w:rsidR="00790971" w:rsidRPr="00060CE7" w:rsidRDefault="00790971" w:rsidP="000E6382">
      <w:pPr>
        <w:spacing w:line="360" w:lineRule="auto"/>
        <w:jc w:val="both"/>
        <w:rPr>
          <w:szCs w:val="20"/>
        </w:rPr>
      </w:pPr>
    </w:p>
    <w:p w14:paraId="5B9B097E" w14:textId="6E2CF156" w:rsidR="00755BCC" w:rsidRPr="00060CE7" w:rsidRDefault="00755BCC" w:rsidP="000E6382">
      <w:pPr>
        <w:spacing w:line="360" w:lineRule="auto"/>
        <w:jc w:val="both"/>
        <w:rPr>
          <w:szCs w:val="20"/>
        </w:rPr>
      </w:pPr>
      <w:r>
        <w:rPr>
          <w:szCs w:val="20"/>
        </w:rPr>
        <w:t xml:space="preserve">Con respecto a </w:t>
      </w:r>
      <w:r w:rsidR="00790971" w:rsidRPr="00060CE7">
        <w:rPr>
          <w:szCs w:val="20"/>
        </w:rPr>
        <w:t xml:space="preserve">la competencia percibida </w:t>
      </w:r>
      <w:r w:rsidR="00790971">
        <w:rPr>
          <w:szCs w:val="20"/>
        </w:rPr>
        <w:t xml:space="preserve">como de mayor impacto en la empleabilidad </w:t>
      </w:r>
      <w:r w:rsidR="00790971" w:rsidRPr="00060CE7">
        <w:rPr>
          <w:szCs w:val="20"/>
        </w:rPr>
        <w:t>por los estudiantes en</w:t>
      </w:r>
      <w:r w:rsidR="00790971">
        <w:rPr>
          <w:szCs w:val="20"/>
        </w:rPr>
        <w:t xml:space="preserve"> función del país en el que estudian</w:t>
      </w:r>
      <w:r>
        <w:rPr>
          <w:szCs w:val="20"/>
        </w:rPr>
        <w:t xml:space="preserve">, se identifica que si existe diferencia, dado que para estudiantes en México la competencia de mayor impacto en la empleabilidad fue la </w:t>
      </w:r>
      <w:r>
        <w:rPr>
          <w:i/>
          <w:szCs w:val="20"/>
        </w:rPr>
        <w:t>p</w:t>
      </w:r>
      <w:r w:rsidRPr="00790971">
        <w:rPr>
          <w:i/>
          <w:szCs w:val="20"/>
        </w:rPr>
        <w:t>ersonal, social y de aprender a aprender</w:t>
      </w:r>
      <w:r w:rsidR="00F0761A">
        <w:rPr>
          <w:szCs w:val="20"/>
        </w:rPr>
        <w:t xml:space="preserve">, y </w:t>
      </w:r>
      <w:r>
        <w:rPr>
          <w:szCs w:val="20"/>
        </w:rPr>
        <w:t>para los estudiantes en Colombia</w:t>
      </w:r>
      <w:r w:rsidR="00F0761A">
        <w:rPr>
          <w:szCs w:val="20"/>
        </w:rPr>
        <w:t>,</w:t>
      </w:r>
      <w:r>
        <w:rPr>
          <w:szCs w:val="20"/>
        </w:rPr>
        <w:t xml:space="preserve"> fue la </w:t>
      </w:r>
      <w:r w:rsidRPr="00790971">
        <w:rPr>
          <w:i/>
          <w:szCs w:val="20"/>
        </w:rPr>
        <w:t>digital</w:t>
      </w:r>
      <w:r>
        <w:rPr>
          <w:szCs w:val="20"/>
        </w:rPr>
        <w:t>.</w:t>
      </w:r>
    </w:p>
    <w:p w14:paraId="21D6526C" w14:textId="4A4BF73A" w:rsidR="00790971" w:rsidRDefault="00790971" w:rsidP="000E6382">
      <w:pPr>
        <w:spacing w:line="360" w:lineRule="auto"/>
        <w:jc w:val="both"/>
        <w:rPr>
          <w:szCs w:val="20"/>
        </w:rPr>
      </w:pPr>
    </w:p>
    <w:p w14:paraId="2BAFE76A" w14:textId="79E85791" w:rsidR="00FD7CD4" w:rsidRDefault="00FD7CD4" w:rsidP="000E6382">
      <w:pPr>
        <w:spacing w:line="360" w:lineRule="auto"/>
        <w:jc w:val="both"/>
        <w:rPr>
          <w:szCs w:val="20"/>
        </w:rPr>
      </w:pPr>
      <w:r>
        <w:rPr>
          <w:szCs w:val="20"/>
        </w:rPr>
        <w:t>Al analizar la información</w:t>
      </w:r>
      <w:r w:rsidR="00361910">
        <w:rPr>
          <w:szCs w:val="20"/>
        </w:rPr>
        <w:t>,</w:t>
      </w:r>
      <w:r>
        <w:rPr>
          <w:szCs w:val="20"/>
        </w:rPr>
        <w:t xml:space="preserve"> se identifica que en ambas perspectivas</w:t>
      </w:r>
      <w:r w:rsidR="00D47627">
        <w:rPr>
          <w:szCs w:val="20"/>
        </w:rPr>
        <w:t>,</w:t>
      </w:r>
      <w:r>
        <w:rPr>
          <w:szCs w:val="20"/>
        </w:rPr>
        <w:t xml:space="preserve"> la competencia en la que se muestra mayor diferencia entre los subgrupos de estudio fue</w:t>
      </w:r>
      <w:r w:rsidR="004734B8">
        <w:rPr>
          <w:szCs w:val="20"/>
        </w:rPr>
        <w:t>,</w:t>
      </w:r>
      <w:r>
        <w:rPr>
          <w:szCs w:val="20"/>
        </w:rPr>
        <w:t xml:space="preserve"> la </w:t>
      </w:r>
      <w:r w:rsidRPr="00FD7CD4">
        <w:rPr>
          <w:i/>
          <w:szCs w:val="20"/>
        </w:rPr>
        <w:t>conciencia y expresión culturales</w:t>
      </w:r>
      <w:r>
        <w:rPr>
          <w:szCs w:val="20"/>
        </w:rPr>
        <w:t xml:space="preserve">. </w:t>
      </w:r>
      <w:r w:rsidR="00361910">
        <w:rPr>
          <w:szCs w:val="20"/>
        </w:rPr>
        <w:t>Adicionalmente</w:t>
      </w:r>
      <w:r w:rsidR="00D47627">
        <w:rPr>
          <w:szCs w:val="20"/>
        </w:rPr>
        <w:t>,</w:t>
      </w:r>
      <w:r w:rsidR="00361910">
        <w:rPr>
          <w:szCs w:val="20"/>
        </w:rPr>
        <w:t xml:space="preserve"> las gráficas de dispersión de esta competencia</w:t>
      </w:r>
      <w:r w:rsidR="00D47627">
        <w:rPr>
          <w:szCs w:val="20"/>
        </w:rPr>
        <w:t>,</w:t>
      </w:r>
      <w:r w:rsidR="00361910">
        <w:rPr>
          <w:szCs w:val="20"/>
        </w:rPr>
        <w:t xml:space="preserve"> muestran </w:t>
      </w:r>
      <w:r w:rsidR="00E06553">
        <w:rPr>
          <w:szCs w:val="20"/>
        </w:rPr>
        <w:t xml:space="preserve">que el </w:t>
      </w:r>
      <w:r w:rsidR="00361910">
        <w:rPr>
          <w:szCs w:val="20"/>
        </w:rPr>
        <w:t xml:space="preserve">subgrupo </w:t>
      </w:r>
      <w:r w:rsidR="00E06553">
        <w:rPr>
          <w:szCs w:val="20"/>
        </w:rPr>
        <w:t>mujeres</w:t>
      </w:r>
      <w:r w:rsidR="004734B8">
        <w:rPr>
          <w:szCs w:val="20"/>
        </w:rPr>
        <w:t>,</w:t>
      </w:r>
      <w:r w:rsidR="00E06553">
        <w:rPr>
          <w:szCs w:val="20"/>
        </w:rPr>
        <w:t xml:space="preserve"> </w:t>
      </w:r>
      <w:r w:rsidR="00361910">
        <w:rPr>
          <w:szCs w:val="20"/>
        </w:rPr>
        <w:t xml:space="preserve">percibe a la </w:t>
      </w:r>
      <w:r w:rsidR="00361910" w:rsidRPr="00D47627">
        <w:rPr>
          <w:i/>
          <w:szCs w:val="20"/>
        </w:rPr>
        <w:t xml:space="preserve">conciencia y expresión cultural </w:t>
      </w:r>
      <w:r w:rsidR="00361910">
        <w:rPr>
          <w:szCs w:val="20"/>
        </w:rPr>
        <w:t xml:space="preserve">como una competencia </w:t>
      </w:r>
      <w:r w:rsidR="004734B8">
        <w:rPr>
          <w:szCs w:val="20"/>
        </w:rPr>
        <w:t>que impacta la empleabilidad. L</w:t>
      </w:r>
      <w:r w:rsidR="00361910">
        <w:rPr>
          <w:szCs w:val="20"/>
        </w:rPr>
        <w:t xml:space="preserve">o </w:t>
      </w:r>
      <w:r w:rsidR="004734B8">
        <w:rPr>
          <w:szCs w:val="20"/>
        </w:rPr>
        <w:t>anterior</w:t>
      </w:r>
      <w:r w:rsidR="00361910">
        <w:rPr>
          <w:szCs w:val="20"/>
        </w:rPr>
        <w:t xml:space="preserve"> es congruente con la afirmación </w:t>
      </w:r>
      <w:r w:rsidR="00361910">
        <w:rPr>
          <w:szCs w:val="20"/>
        </w:rPr>
        <w:lastRenderedPageBreak/>
        <w:t>de Braidot (2016)</w:t>
      </w:r>
      <w:r w:rsidR="00E06553">
        <w:rPr>
          <w:szCs w:val="20"/>
        </w:rPr>
        <w:t>,</w:t>
      </w:r>
      <w:r w:rsidR="00361910">
        <w:rPr>
          <w:szCs w:val="20"/>
        </w:rPr>
        <w:t xml:space="preserve"> respecto a que las mujeres tienen</w:t>
      </w:r>
      <w:r w:rsidR="00361910" w:rsidRPr="00361910">
        <w:rPr>
          <w:szCs w:val="20"/>
        </w:rPr>
        <w:t xml:space="preserve"> una predisposición para armonizar en los ambientes y en</w:t>
      </w:r>
      <w:r w:rsidR="00361910">
        <w:rPr>
          <w:szCs w:val="20"/>
        </w:rPr>
        <w:t xml:space="preserve"> habilidades innatas de empatía; al tener </w:t>
      </w:r>
      <w:r w:rsidR="00E06553">
        <w:rPr>
          <w:szCs w:val="20"/>
        </w:rPr>
        <w:t xml:space="preserve">en el cerebro </w:t>
      </w:r>
      <w:r w:rsidR="00361910">
        <w:rPr>
          <w:szCs w:val="20"/>
        </w:rPr>
        <w:t xml:space="preserve">más conexiones en los centros de comunicación y las áreas que procesan emociones. </w:t>
      </w:r>
      <w:r w:rsidR="00E06553">
        <w:rPr>
          <w:szCs w:val="20"/>
        </w:rPr>
        <w:t>La importancia percibida</w:t>
      </w:r>
      <w:r w:rsidR="00361910">
        <w:rPr>
          <w:szCs w:val="20"/>
        </w:rPr>
        <w:t xml:space="preserve"> </w:t>
      </w:r>
      <w:r w:rsidR="00E06553">
        <w:rPr>
          <w:szCs w:val="20"/>
        </w:rPr>
        <w:t>por las mujeres</w:t>
      </w:r>
      <w:r w:rsidR="004734B8">
        <w:rPr>
          <w:szCs w:val="20"/>
        </w:rPr>
        <w:t>,</w:t>
      </w:r>
      <w:r w:rsidR="00E06553">
        <w:rPr>
          <w:szCs w:val="20"/>
        </w:rPr>
        <w:t xml:space="preserve"> de</w:t>
      </w:r>
      <w:r w:rsidR="00361910">
        <w:rPr>
          <w:szCs w:val="20"/>
        </w:rPr>
        <w:t xml:space="preserve"> la </w:t>
      </w:r>
      <w:r w:rsidR="00E06553">
        <w:rPr>
          <w:szCs w:val="20"/>
        </w:rPr>
        <w:t xml:space="preserve">competencia de </w:t>
      </w:r>
      <w:r w:rsidR="00361910" w:rsidRPr="00E06553">
        <w:rPr>
          <w:i/>
          <w:szCs w:val="20"/>
        </w:rPr>
        <w:t>conciencia y expresión culturales</w:t>
      </w:r>
      <w:r w:rsidR="00E06553">
        <w:rPr>
          <w:i/>
          <w:szCs w:val="20"/>
        </w:rPr>
        <w:t>,</w:t>
      </w:r>
      <w:r w:rsidR="00E06553">
        <w:rPr>
          <w:szCs w:val="20"/>
        </w:rPr>
        <w:t xml:space="preserve"> se relaciona con comprender y compartir los sentimientos de los demás, y la inclusión a las características propias de cada cultura, en un mundo laboral cada vez más globalizado, donde la</w:t>
      </w:r>
      <w:r w:rsidR="004734B8">
        <w:rPr>
          <w:szCs w:val="20"/>
        </w:rPr>
        <w:t>s interaccio</w:t>
      </w:r>
      <w:r w:rsidR="00E06553">
        <w:rPr>
          <w:szCs w:val="20"/>
        </w:rPr>
        <w:t>n</w:t>
      </w:r>
      <w:r w:rsidR="004734B8">
        <w:rPr>
          <w:szCs w:val="20"/>
        </w:rPr>
        <w:t>es</w:t>
      </w:r>
      <w:r w:rsidR="00E06553">
        <w:rPr>
          <w:szCs w:val="20"/>
        </w:rPr>
        <w:t xml:space="preserve"> de personas de diferentes países s</w:t>
      </w:r>
      <w:r w:rsidR="004734B8">
        <w:rPr>
          <w:szCs w:val="20"/>
        </w:rPr>
        <w:t>on</w:t>
      </w:r>
      <w:r w:rsidR="00E06553">
        <w:rPr>
          <w:szCs w:val="20"/>
        </w:rPr>
        <w:t xml:space="preserve"> cada vez más frecuente</w:t>
      </w:r>
      <w:r w:rsidR="004734B8">
        <w:rPr>
          <w:szCs w:val="20"/>
        </w:rPr>
        <w:t>s</w:t>
      </w:r>
      <w:r w:rsidR="000A1CF8">
        <w:rPr>
          <w:szCs w:val="20"/>
        </w:rPr>
        <w:t xml:space="preserve"> y necesaria</w:t>
      </w:r>
      <w:r w:rsidR="004734B8">
        <w:rPr>
          <w:szCs w:val="20"/>
        </w:rPr>
        <w:t>s</w:t>
      </w:r>
      <w:r w:rsidR="00E06553">
        <w:rPr>
          <w:szCs w:val="20"/>
        </w:rPr>
        <w:t>.</w:t>
      </w:r>
    </w:p>
    <w:p w14:paraId="67B145A4" w14:textId="77777777" w:rsidR="00C7468E" w:rsidRDefault="00C7468E" w:rsidP="000E6382">
      <w:pPr>
        <w:spacing w:line="360" w:lineRule="auto"/>
        <w:jc w:val="both"/>
        <w:rPr>
          <w:szCs w:val="20"/>
        </w:rPr>
      </w:pPr>
    </w:p>
    <w:p w14:paraId="782CBFE3" w14:textId="0F659B5A" w:rsidR="00E241F5" w:rsidRDefault="00C7468E" w:rsidP="000E6382">
      <w:pPr>
        <w:spacing w:line="360" w:lineRule="auto"/>
        <w:jc w:val="both"/>
        <w:rPr>
          <w:szCs w:val="20"/>
        </w:rPr>
      </w:pPr>
      <w:r>
        <w:rPr>
          <w:szCs w:val="20"/>
        </w:rPr>
        <w:t xml:space="preserve">La competencia </w:t>
      </w:r>
      <w:r w:rsidRPr="00E241F5">
        <w:rPr>
          <w:i/>
          <w:szCs w:val="20"/>
        </w:rPr>
        <w:t>digital</w:t>
      </w:r>
      <w:r>
        <w:rPr>
          <w:szCs w:val="20"/>
        </w:rPr>
        <w:t xml:space="preserve"> en las gráficas de dispersión muestra una valoración similar por los diferentes subgrupos analizados. Lo anterior se considera congruente</w:t>
      </w:r>
      <w:r w:rsidR="00E241F5">
        <w:rPr>
          <w:szCs w:val="20"/>
        </w:rPr>
        <w:t xml:space="preserve"> con lo identificado por Ramírez et al., (2021), quienes indican que: </w:t>
      </w:r>
    </w:p>
    <w:p w14:paraId="5A14C702" w14:textId="77777777" w:rsidR="00E241F5" w:rsidRDefault="00E241F5" w:rsidP="000E6382">
      <w:pPr>
        <w:spacing w:line="360" w:lineRule="auto"/>
        <w:ind w:left="567" w:right="616"/>
        <w:jc w:val="both"/>
      </w:pPr>
      <w:r>
        <w:rPr>
          <w:szCs w:val="20"/>
        </w:rPr>
        <w:t>“…</w:t>
      </w:r>
      <w:r w:rsidR="00C7468E" w:rsidRPr="00E241F5">
        <w:rPr>
          <w:i/>
          <w:szCs w:val="20"/>
        </w:rPr>
        <w:t>un gran cambio que han traído la modernidad y postmodernidad al ambiente organizacional es el advenimiento de la tecnología. Las organizaciones que pretenden convertirse en entes aprendientes, deben contar con tecnología avanzada para obtener y distribuir la información. Sus sistemas estarán preparados para promover una comunicación fluida entre sus empleados y deberá asegurarse que todos reciban información relevante y oportuna con respecto a su trabajo</w:t>
      </w:r>
      <w:r w:rsidR="00C7468E" w:rsidRPr="00C7468E">
        <w:rPr>
          <w:szCs w:val="20"/>
        </w:rPr>
        <w:t>.</w:t>
      </w:r>
      <w:r>
        <w:rPr>
          <w:szCs w:val="20"/>
        </w:rPr>
        <w:t>”</w:t>
      </w:r>
      <w:r w:rsidR="00E46BB1" w:rsidRPr="00E46BB1">
        <w:t xml:space="preserve"> </w:t>
      </w:r>
    </w:p>
    <w:p w14:paraId="3BDB9F73" w14:textId="77777777" w:rsidR="00252D5D" w:rsidRDefault="00252D5D" w:rsidP="000E6382">
      <w:pPr>
        <w:spacing w:line="360" w:lineRule="auto"/>
        <w:jc w:val="both"/>
        <w:rPr>
          <w:szCs w:val="20"/>
        </w:rPr>
      </w:pPr>
    </w:p>
    <w:p w14:paraId="48E3F402" w14:textId="01D20880" w:rsidR="00E241F5" w:rsidRDefault="00E241F5" w:rsidP="000E6382">
      <w:pPr>
        <w:spacing w:line="360" w:lineRule="auto"/>
        <w:jc w:val="both"/>
        <w:rPr>
          <w:szCs w:val="20"/>
        </w:rPr>
      </w:pPr>
      <w:r>
        <w:rPr>
          <w:szCs w:val="20"/>
        </w:rPr>
        <w:t xml:space="preserve">Así como coincide con lo concluido por Díaz </w:t>
      </w:r>
      <w:r w:rsidR="007641E0">
        <w:rPr>
          <w:szCs w:val="20"/>
        </w:rPr>
        <w:t xml:space="preserve">Vargas </w:t>
      </w:r>
      <w:r>
        <w:rPr>
          <w:szCs w:val="20"/>
        </w:rPr>
        <w:t>(2020) respecto a que:</w:t>
      </w:r>
    </w:p>
    <w:p w14:paraId="321BFB18" w14:textId="40316563" w:rsidR="00E46BB1" w:rsidRPr="00E241F5" w:rsidRDefault="00E241F5" w:rsidP="000E6382">
      <w:pPr>
        <w:spacing w:line="360" w:lineRule="auto"/>
        <w:ind w:left="426" w:right="474"/>
        <w:jc w:val="both"/>
        <w:rPr>
          <w:i/>
          <w:szCs w:val="20"/>
        </w:rPr>
      </w:pPr>
      <w:r w:rsidRPr="00E241F5">
        <w:rPr>
          <w:i/>
          <w:szCs w:val="20"/>
        </w:rPr>
        <w:t xml:space="preserve"> “…</w:t>
      </w:r>
      <w:r w:rsidR="00E46BB1" w:rsidRPr="00E241F5">
        <w:rPr>
          <w:i/>
          <w:szCs w:val="20"/>
        </w:rPr>
        <w:t xml:space="preserve"> el uso inteligente de la tecnología, al alcance de todos, es un ideal en países industrializados y desarrollados, pero en países donde aún esto no ha sido posible, por la desigualdad social, genera un gran desequilibrio educativo y, a su vez laboral, que no implica que no puedan establecer bases</w:t>
      </w:r>
      <w:r>
        <w:rPr>
          <w:i/>
          <w:szCs w:val="20"/>
        </w:rPr>
        <w:t xml:space="preserve"> </w:t>
      </w:r>
      <w:r w:rsidR="00E46BB1" w:rsidRPr="00E241F5">
        <w:rPr>
          <w:i/>
          <w:szCs w:val="20"/>
        </w:rPr>
        <w:t>formativas para todos sus colaboradores en las diversas áreas productivas.</w:t>
      </w:r>
      <w:r w:rsidRPr="00E241F5">
        <w:rPr>
          <w:i/>
          <w:szCs w:val="20"/>
        </w:rPr>
        <w:t>”</w:t>
      </w:r>
      <w:r w:rsidR="00E46BB1" w:rsidRPr="00E241F5">
        <w:rPr>
          <w:i/>
          <w:szCs w:val="20"/>
        </w:rPr>
        <w:t xml:space="preserve"> </w:t>
      </w:r>
    </w:p>
    <w:p w14:paraId="5F7420BC" w14:textId="30C0FB62" w:rsidR="00E241F5" w:rsidRDefault="00E241F5" w:rsidP="000E6382">
      <w:pPr>
        <w:spacing w:line="360" w:lineRule="auto"/>
        <w:jc w:val="both"/>
        <w:rPr>
          <w:szCs w:val="20"/>
        </w:rPr>
      </w:pPr>
      <w:r>
        <w:rPr>
          <w:szCs w:val="20"/>
        </w:rPr>
        <w:t xml:space="preserve">Se considera que </w:t>
      </w:r>
      <w:r w:rsidR="00255CC7">
        <w:rPr>
          <w:szCs w:val="20"/>
        </w:rPr>
        <w:t>el alto impacto</w:t>
      </w:r>
      <w:r>
        <w:rPr>
          <w:szCs w:val="20"/>
        </w:rPr>
        <w:t xml:space="preserve"> de la competencia digital en la empleabilidad es innegable</w:t>
      </w:r>
      <w:r w:rsidR="00255CC7">
        <w:rPr>
          <w:szCs w:val="20"/>
        </w:rPr>
        <w:t>,</w:t>
      </w:r>
      <w:r>
        <w:rPr>
          <w:szCs w:val="20"/>
        </w:rPr>
        <w:t xml:space="preserve"> tanto por los resultados de la presente investigación como por lo identificado por o</w:t>
      </w:r>
      <w:r w:rsidR="00255CC7">
        <w:rPr>
          <w:szCs w:val="20"/>
        </w:rPr>
        <w:t>tros autores. Por lo tanto, e</w:t>
      </w:r>
      <w:r>
        <w:rPr>
          <w:szCs w:val="20"/>
        </w:rPr>
        <w:t xml:space="preserve">s </w:t>
      </w:r>
      <w:r w:rsidR="00255CC7">
        <w:rPr>
          <w:szCs w:val="20"/>
        </w:rPr>
        <w:t>importante</w:t>
      </w:r>
      <w:r>
        <w:rPr>
          <w:szCs w:val="20"/>
        </w:rPr>
        <w:t xml:space="preserve"> puntualizar que esta </w:t>
      </w:r>
      <w:r w:rsidR="00255CC7">
        <w:rPr>
          <w:szCs w:val="20"/>
        </w:rPr>
        <w:t>percepción significativa</w:t>
      </w:r>
      <w:r>
        <w:rPr>
          <w:szCs w:val="20"/>
        </w:rPr>
        <w:t xml:space="preserve"> </w:t>
      </w:r>
      <w:r>
        <w:rPr>
          <w:szCs w:val="20"/>
        </w:rPr>
        <w:lastRenderedPageBreak/>
        <w:t>requiere de una acción por parte de las IES, las cuales darían a sus egresados una mejora competitiva</w:t>
      </w:r>
      <w:r w:rsidR="00255CC7">
        <w:rPr>
          <w:szCs w:val="20"/>
        </w:rPr>
        <w:t>,</w:t>
      </w:r>
      <w:r>
        <w:rPr>
          <w:szCs w:val="20"/>
        </w:rPr>
        <w:t xml:space="preserve"> si diseñarán estrategias para fortalecer esta competencia.</w:t>
      </w:r>
    </w:p>
    <w:p w14:paraId="2036E108" w14:textId="77777777" w:rsidR="00E241F5" w:rsidRDefault="00E241F5" w:rsidP="000E6382">
      <w:pPr>
        <w:spacing w:line="360" w:lineRule="auto"/>
        <w:jc w:val="both"/>
        <w:rPr>
          <w:szCs w:val="20"/>
        </w:rPr>
      </w:pPr>
    </w:p>
    <w:p w14:paraId="191B3F87" w14:textId="02AC6A49" w:rsidR="00C42F04" w:rsidRDefault="00C42F04" w:rsidP="0049147F">
      <w:pPr>
        <w:spacing w:line="360" w:lineRule="auto"/>
        <w:jc w:val="both"/>
        <w:rPr>
          <w:szCs w:val="20"/>
        </w:rPr>
      </w:pPr>
      <w:r>
        <w:rPr>
          <w:szCs w:val="20"/>
        </w:rPr>
        <w:t>La gráfica de dispersión de la competencia personal, social y de aprender a aprender</w:t>
      </w:r>
      <w:r w:rsidR="0049147F">
        <w:rPr>
          <w:szCs w:val="20"/>
        </w:rPr>
        <w:t xml:space="preserve">, muestra que las mujeres </w:t>
      </w:r>
      <w:r w:rsidR="00A14BB7">
        <w:rPr>
          <w:szCs w:val="20"/>
        </w:rPr>
        <w:t xml:space="preserve">la </w:t>
      </w:r>
      <w:r w:rsidR="0049147F">
        <w:rPr>
          <w:szCs w:val="20"/>
        </w:rPr>
        <w:t xml:space="preserve">perciben como de mayor impacto en la empleabilidad. </w:t>
      </w:r>
      <w:r w:rsidR="00A30892">
        <w:rPr>
          <w:szCs w:val="20"/>
        </w:rPr>
        <w:t xml:space="preserve">La </w:t>
      </w:r>
      <w:r w:rsidR="00E96983">
        <w:rPr>
          <w:szCs w:val="20"/>
        </w:rPr>
        <w:t xml:space="preserve">Organización Internacional del Trabajo </w:t>
      </w:r>
      <w:r w:rsidR="00E96983">
        <w:rPr>
          <w:szCs w:val="20"/>
        </w:rPr>
        <w:t>(</w:t>
      </w:r>
      <w:r w:rsidR="00A30892">
        <w:rPr>
          <w:szCs w:val="20"/>
        </w:rPr>
        <w:t>OIT</w:t>
      </w:r>
      <w:r w:rsidR="00E96983">
        <w:rPr>
          <w:szCs w:val="20"/>
        </w:rPr>
        <w:t>,</w:t>
      </w:r>
      <w:r w:rsidR="00A30892">
        <w:rPr>
          <w:szCs w:val="20"/>
        </w:rPr>
        <w:t xml:space="preserve"> 2018)</w:t>
      </w:r>
      <w:r w:rsidR="0031748B">
        <w:rPr>
          <w:szCs w:val="20"/>
        </w:rPr>
        <w:t>,</w:t>
      </w:r>
      <w:r w:rsidR="00A30892">
        <w:rPr>
          <w:szCs w:val="20"/>
        </w:rPr>
        <w:t xml:space="preserve"> indica que las mujeres con mayor probabilidad de participar en el mercado de trabajo son quienes tienen estudios secundarios y estudios superiores, mientras que las de menor probabilidad son quienes están casadas o tienen pareja, que creen que es difícil conciliar la vida laboral y familiar, que no tienen acceso a un medio de transporte y que tienen familiares que no aprueban que trabajen.</w:t>
      </w:r>
      <w:r w:rsidR="00D94C6D">
        <w:rPr>
          <w:szCs w:val="20"/>
        </w:rPr>
        <w:t xml:space="preserve"> Contrastando esta información</w:t>
      </w:r>
      <w:r w:rsidR="0031748B">
        <w:rPr>
          <w:szCs w:val="20"/>
        </w:rPr>
        <w:t>,</w:t>
      </w:r>
      <w:r w:rsidR="00D94C6D">
        <w:rPr>
          <w:szCs w:val="20"/>
        </w:rPr>
        <w:t xml:space="preserve"> es posible afirmar que la mujer requiere de su competencia personal, social y de aprender a aprender para </w:t>
      </w:r>
      <w:r w:rsidR="00851981" w:rsidRPr="0049147F">
        <w:rPr>
          <w:szCs w:val="20"/>
        </w:rPr>
        <w:t xml:space="preserve">reflexionar sobre </w:t>
      </w:r>
      <w:r w:rsidR="00D94C6D">
        <w:rPr>
          <w:szCs w:val="20"/>
        </w:rPr>
        <w:t>sí</w:t>
      </w:r>
      <w:r w:rsidR="00851981" w:rsidRPr="0049147F">
        <w:rPr>
          <w:szCs w:val="20"/>
        </w:rPr>
        <w:t xml:space="preserve"> mism</w:t>
      </w:r>
      <w:r w:rsidR="00D94C6D">
        <w:rPr>
          <w:szCs w:val="20"/>
        </w:rPr>
        <w:t>a</w:t>
      </w:r>
      <w:r w:rsidR="00851981" w:rsidRPr="0049147F">
        <w:rPr>
          <w:szCs w:val="20"/>
        </w:rPr>
        <w:t xml:space="preserve">, </w:t>
      </w:r>
      <w:r w:rsidR="00851981" w:rsidRPr="00851981">
        <w:rPr>
          <w:szCs w:val="20"/>
        </w:rPr>
        <w:t>colaborar con otros de forma constructiva,</w:t>
      </w:r>
      <w:r w:rsidR="00851981">
        <w:rPr>
          <w:szCs w:val="20"/>
        </w:rPr>
        <w:t xml:space="preserve"> </w:t>
      </w:r>
      <w:r w:rsidR="00851981" w:rsidRPr="0049147F">
        <w:rPr>
          <w:szCs w:val="20"/>
        </w:rPr>
        <w:t xml:space="preserve">mantener </w:t>
      </w:r>
      <w:r w:rsidR="00D94C6D">
        <w:rPr>
          <w:szCs w:val="20"/>
        </w:rPr>
        <w:t>su</w:t>
      </w:r>
      <w:r w:rsidR="00851981" w:rsidRPr="0049147F">
        <w:rPr>
          <w:szCs w:val="20"/>
        </w:rPr>
        <w:t xml:space="preserve"> resiliencia y gestionar el aprendizaje</w:t>
      </w:r>
      <w:r w:rsidR="00851981">
        <w:rPr>
          <w:szCs w:val="20"/>
        </w:rPr>
        <w:t xml:space="preserve">, </w:t>
      </w:r>
      <w:r w:rsidR="00D94C6D">
        <w:rPr>
          <w:szCs w:val="20"/>
        </w:rPr>
        <w:t>a fin de gestionar los obstáculos que le representan las personas cercanas a ella</w:t>
      </w:r>
      <w:r w:rsidR="0031748B">
        <w:rPr>
          <w:szCs w:val="20"/>
        </w:rPr>
        <w:t>;</w:t>
      </w:r>
      <w:r w:rsidR="00D94C6D">
        <w:rPr>
          <w:szCs w:val="20"/>
        </w:rPr>
        <w:t xml:space="preserve"> como los familiares o parejas que no aprueban que trabaje y le dificultan conciliar la vida laboral y familiar. Así mismo</w:t>
      </w:r>
      <w:r w:rsidR="0031748B">
        <w:rPr>
          <w:szCs w:val="20"/>
        </w:rPr>
        <w:t>,</w:t>
      </w:r>
      <w:r w:rsidR="00D94C6D">
        <w:rPr>
          <w:szCs w:val="20"/>
        </w:rPr>
        <w:t xml:space="preserve"> requiere </w:t>
      </w:r>
      <w:r w:rsidR="00D94C6D" w:rsidRPr="00D94C6D">
        <w:rPr>
          <w:szCs w:val="20"/>
        </w:rPr>
        <w:t xml:space="preserve">mantener su resiliencia y gestionar </w:t>
      </w:r>
      <w:r w:rsidR="00D94C6D">
        <w:rPr>
          <w:szCs w:val="20"/>
        </w:rPr>
        <w:t>su</w:t>
      </w:r>
      <w:r w:rsidR="00D94C6D" w:rsidRPr="00D94C6D">
        <w:rPr>
          <w:szCs w:val="20"/>
        </w:rPr>
        <w:t xml:space="preserve"> aprendizaje</w:t>
      </w:r>
      <w:r w:rsidR="00D94C6D">
        <w:rPr>
          <w:szCs w:val="20"/>
        </w:rPr>
        <w:t xml:space="preserve"> para </w:t>
      </w:r>
      <w:r w:rsidR="00ED4E76">
        <w:rPr>
          <w:szCs w:val="20"/>
        </w:rPr>
        <w:t>desarrolla</w:t>
      </w:r>
      <w:r w:rsidR="00D94C6D">
        <w:rPr>
          <w:szCs w:val="20"/>
        </w:rPr>
        <w:t>r</w:t>
      </w:r>
      <w:r w:rsidR="0049147F">
        <w:rPr>
          <w:szCs w:val="20"/>
        </w:rPr>
        <w:t xml:space="preserve"> </w:t>
      </w:r>
      <w:r w:rsidR="0049147F" w:rsidRPr="0049147F">
        <w:rPr>
          <w:szCs w:val="20"/>
        </w:rPr>
        <w:t xml:space="preserve">conductas, pensamientos y acciones </w:t>
      </w:r>
      <w:r w:rsidR="00D94C6D">
        <w:rPr>
          <w:szCs w:val="20"/>
        </w:rPr>
        <w:t xml:space="preserve">que favorezcan su empleabilidad. </w:t>
      </w:r>
    </w:p>
    <w:p w14:paraId="4F1F93DB" w14:textId="77777777" w:rsidR="00E17AB8" w:rsidRDefault="00E17AB8" w:rsidP="0049147F">
      <w:pPr>
        <w:spacing w:line="360" w:lineRule="auto"/>
        <w:jc w:val="both"/>
        <w:rPr>
          <w:szCs w:val="20"/>
        </w:rPr>
      </w:pPr>
    </w:p>
    <w:p w14:paraId="5F6C38F5" w14:textId="0452686B" w:rsidR="00E17AB8" w:rsidRDefault="00B53203" w:rsidP="0049147F">
      <w:pPr>
        <w:spacing w:line="360" w:lineRule="auto"/>
        <w:jc w:val="both"/>
        <w:rPr>
          <w:szCs w:val="20"/>
        </w:rPr>
      </w:pPr>
      <w:r>
        <w:rPr>
          <w:szCs w:val="20"/>
        </w:rPr>
        <w:t xml:space="preserve">Desde la perspectiva del individuo, </w:t>
      </w:r>
      <w:r w:rsidR="00E17AB8">
        <w:rPr>
          <w:szCs w:val="20"/>
        </w:rPr>
        <w:t>Senge (1990)</w:t>
      </w:r>
      <w:r w:rsidR="00E00163">
        <w:rPr>
          <w:szCs w:val="20"/>
        </w:rPr>
        <w:t>,</w:t>
      </w:r>
      <w:r w:rsidR="00E17AB8">
        <w:rPr>
          <w:szCs w:val="20"/>
        </w:rPr>
        <w:t xml:space="preserve"> </w:t>
      </w:r>
      <w:r>
        <w:rPr>
          <w:szCs w:val="20"/>
        </w:rPr>
        <w:t xml:space="preserve">indica que </w:t>
      </w:r>
      <w:r w:rsidR="007E0444">
        <w:rPr>
          <w:szCs w:val="20"/>
        </w:rPr>
        <w:t xml:space="preserve">el dominio personal alienta la motivación para aprender continuamente y mirar como nuestros actos afectan al mundo; lo cual permite estructurar nuestros </w:t>
      </w:r>
      <w:r w:rsidR="00E17AB8">
        <w:rPr>
          <w:szCs w:val="20"/>
        </w:rPr>
        <w:t>modelos mentales</w:t>
      </w:r>
      <w:r w:rsidR="007E0444">
        <w:rPr>
          <w:szCs w:val="20"/>
        </w:rPr>
        <w:t>. Los modelos mentales, e</w:t>
      </w:r>
      <w:r w:rsidR="00E17AB8">
        <w:rPr>
          <w:szCs w:val="20"/>
        </w:rPr>
        <w:t xml:space="preserve">nfatizan la apertura para desnudar nuestras limitaciones a la hora de mirar el </w:t>
      </w:r>
      <w:r w:rsidR="007E0444">
        <w:rPr>
          <w:szCs w:val="20"/>
        </w:rPr>
        <w:t>entorno, y facilitan e</w:t>
      </w:r>
      <w:r w:rsidR="00E17AB8">
        <w:rPr>
          <w:szCs w:val="20"/>
        </w:rPr>
        <w:t>l pensamiento sistémico</w:t>
      </w:r>
      <w:r w:rsidR="007E0444">
        <w:rPr>
          <w:szCs w:val="20"/>
        </w:rPr>
        <w:t xml:space="preserve"> con el que se </w:t>
      </w:r>
      <w:r w:rsidR="00F96F4D">
        <w:rPr>
          <w:szCs w:val="20"/>
        </w:rPr>
        <w:t xml:space="preserve">logra </w:t>
      </w:r>
      <w:r w:rsidR="00E17AB8">
        <w:rPr>
          <w:szCs w:val="20"/>
        </w:rPr>
        <w:t>compren</w:t>
      </w:r>
      <w:r w:rsidR="00F96F4D">
        <w:rPr>
          <w:szCs w:val="20"/>
        </w:rPr>
        <w:t>der</w:t>
      </w:r>
      <w:r w:rsidR="007E0444">
        <w:rPr>
          <w:szCs w:val="20"/>
        </w:rPr>
        <w:t xml:space="preserve"> </w:t>
      </w:r>
      <w:r w:rsidR="00E17AB8">
        <w:rPr>
          <w:szCs w:val="20"/>
        </w:rPr>
        <w:t>la percepción que se tiene de sí mismo</w:t>
      </w:r>
      <w:r>
        <w:rPr>
          <w:szCs w:val="20"/>
        </w:rPr>
        <w:t>,</w:t>
      </w:r>
      <w:r w:rsidR="00E17AB8">
        <w:rPr>
          <w:szCs w:val="20"/>
        </w:rPr>
        <w:t xml:space="preserve"> y del mundo donde las personas descubren como c</w:t>
      </w:r>
      <w:r>
        <w:rPr>
          <w:szCs w:val="20"/>
        </w:rPr>
        <w:t>onstru</w:t>
      </w:r>
      <w:r w:rsidR="007E0444">
        <w:rPr>
          <w:szCs w:val="20"/>
        </w:rPr>
        <w:t>ir</w:t>
      </w:r>
      <w:r w:rsidR="00E17AB8">
        <w:rPr>
          <w:szCs w:val="20"/>
        </w:rPr>
        <w:t xml:space="preserve"> su realidad. </w:t>
      </w:r>
    </w:p>
    <w:p w14:paraId="40236F88" w14:textId="77777777" w:rsidR="00E17AB8" w:rsidRDefault="00E17AB8" w:rsidP="00E17AB8">
      <w:pPr>
        <w:spacing w:line="360" w:lineRule="auto"/>
        <w:jc w:val="both"/>
        <w:rPr>
          <w:szCs w:val="20"/>
        </w:rPr>
      </w:pPr>
    </w:p>
    <w:p w14:paraId="6CA84EDA" w14:textId="2C7D2223" w:rsidR="00ED0B05" w:rsidRDefault="00ED0B05" w:rsidP="00ED0B05">
      <w:pPr>
        <w:spacing w:line="360" w:lineRule="auto"/>
        <w:jc w:val="both"/>
        <w:rPr>
          <w:color w:val="000000" w:themeColor="text1"/>
          <w:szCs w:val="20"/>
        </w:rPr>
      </w:pPr>
      <w:r>
        <w:rPr>
          <w:szCs w:val="20"/>
        </w:rPr>
        <w:t>La OIT (2023),</w:t>
      </w:r>
      <w:r w:rsidRPr="00480F84">
        <w:t xml:space="preserve"> </w:t>
      </w:r>
      <w:r>
        <w:t>indica que e</w:t>
      </w:r>
      <w:r w:rsidRPr="00480F84">
        <w:rPr>
          <w:szCs w:val="20"/>
        </w:rPr>
        <w:t xml:space="preserve">l déficit mundial de empleo </w:t>
      </w:r>
      <w:r w:rsidR="005B12E2">
        <w:rPr>
          <w:szCs w:val="20"/>
        </w:rPr>
        <w:t>(</w:t>
      </w:r>
      <w:r w:rsidR="005B12E2" w:rsidRPr="00480F84">
        <w:rPr>
          <w:szCs w:val="20"/>
        </w:rPr>
        <w:t>medida de la necesidad insatisfecha de</w:t>
      </w:r>
      <w:r w:rsidR="005B12E2">
        <w:rPr>
          <w:szCs w:val="20"/>
        </w:rPr>
        <w:t xml:space="preserve"> </w:t>
      </w:r>
      <w:r w:rsidR="005B12E2" w:rsidRPr="00480F84">
        <w:rPr>
          <w:szCs w:val="20"/>
        </w:rPr>
        <w:t>empleo</w:t>
      </w:r>
      <w:r w:rsidR="005B12E2">
        <w:rPr>
          <w:szCs w:val="20"/>
        </w:rPr>
        <w:t>)</w:t>
      </w:r>
      <w:r w:rsidR="005B12E2" w:rsidRPr="00480F84">
        <w:rPr>
          <w:szCs w:val="20"/>
        </w:rPr>
        <w:t xml:space="preserve"> </w:t>
      </w:r>
      <w:r w:rsidRPr="00480F84">
        <w:rPr>
          <w:szCs w:val="20"/>
        </w:rPr>
        <w:t>ascendió a 473 millones</w:t>
      </w:r>
      <w:r>
        <w:rPr>
          <w:szCs w:val="20"/>
        </w:rPr>
        <w:t xml:space="preserve"> </w:t>
      </w:r>
      <w:r w:rsidRPr="00480F84">
        <w:rPr>
          <w:szCs w:val="20"/>
        </w:rPr>
        <w:t>de personas en 2022, lo que corresponde</w:t>
      </w:r>
      <w:r>
        <w:rPr>
          <w:szCs w:val="20"/>
        </w:rPr>
        <w:t xml:space="preserve"> </w:t>
      </w:r>
      <w:r w:rsidRPr="00480F84">
        <w:rPr>
          <w:szCs w:val="20"/>
        </w:rPr>
        <w:t>a una tasa de incidencia de déficit de empleo del</w:t>
      </w:r>
      <w:r>
        <w:rPr>
          <w:szCs w:val="20"/>
        </w:rPr>
        <w:t xml:space="preserve"> </w:t>
      </w:r>
      <w:r w:rsidRPr="00480F84">
        <w:rPr>
          <w:szCs w:val="20"/>
        </w:rPr>
        <w:t>12</w:t>
      </w:r>
      <w:r>
        <w:rPr>
          <w:szCs w:val="20"/>
        </w:rPr>
        <w:t>.</w:t>
      </w:r>
      <w:r w:rsidRPr="00480F84">
        <w:rPr>
          <w:szCs w:val="20"/>
        </w:rPr>
        <w:t>3</w:t>
      </w:r>
      <w:r>
        <w:rPr>
          <w:szCs w:val="20"/>
        </w:rPr>
        <w:t>%</w:t>
      </w:r>
      <w:r w:rsidRPr="00480F84">
        <w:rPr>
          <w:szCs w:val="20"/>
        </w:rPr>
        <w:t xml:space="preserve">. </w:t>
      </w:r>
      <w:r w:rsidR="005B12E2">
        <w:rPr>
          <w:szCs w:val="20"/>
        </w:rPr>
        <w:t>Cabe mencionar que l</w:t>
      </w:r>
      <w:r w:rsidR="005B12E2" w:rsidRPr="005B12E2">
        <w:rPr>
          <w:szCs w:val="20"/>
        </w:rPr>
        <w:t xml:space="preserve">a brecha de género en el empleo </w:t>
      </w:r>
      <w:r w:rsidR="005B12E2">
        <w:rPr>
          <w:szCs w:val="20"/>
        </w:rPr>
        <w:t xml:space="preserve">es significativa en México y Colombia, donde las mujeres siguen </w:t>
      </w:r>
      <w:r w:rsidR="005B12E2">
        <w:rPr>
          <w:szCs w:val="20"/>
        </w:rPr>
        <w:lastRenderedPageBreak/>
        <w:t xml:space="preserve">siendo las que tienen menor participación en la fuerza laboral. </w:t>
      </w:r>
      <w:r w:rsidRPr="001F0BAF">
        <w:rPr>
          <w:szCs w:val="20"/>
        </w:rPr>
        <w:t>A pesar de la desaceleración general del crecimiento</w:t>
      </w:r>
      <w:r>
        <w:rPr>
          <w:szCs w:val="20"/>
        </w:rPr>
        <w:t xml:space="preserve"> </w:t>
      </w:r>
      <w:r w:rsidRPr="001F0BAF">
        <w:rPr>
          <w:szCs w:val="20"/>
        </w:rPr>
        <w:t>del empleo, persiste el riesgo de escasez</w:t>
      </w:r>
      <w:r>
        <w:rPr>
          <w:szCs w:val="20"/>
        </w:rPr>
        <w:t xml:space="preserve"> </w:t>
      </w:r>
      <w:r w:rsidRPr="001F0BAF">
        <w:rPr>
          <w:szCs w:val="20"/>
        </w:rPr>
        <w:t>de trabajadores calificados en determinados</w:t>
      </w:r>
      <w:r>
        <w:rPr>
          <w:szCs w:val="20"/>
        </w:rPr>
        <w:t xml:space="preserve"> </w:t>
      </w:r>
      <w:r w:rsidRPr="001F0BAF">
        <w:rPr>
          <w:szCs w:val="20"/>
        </w:rPr>
        <w:t>países y sectores. Es necesario aumentar la</w:t>
      </w:r>
      <w:r>
        <w:rPr>
          <w:szCs w:val="20"/>
        </w:rPr>
        <w:t xml:space="preserve"> </w:t>
      </w:r>
      <w:r w:rsidRPr="001F0BAF">
        <w:rPr>
          <w:szCs w:val="20"/>
        </w:rPr>
        <w:t>inversión en educación y formación para desplegar</w:t>
      </w:r>
      <w:r>
        <w:rPr>
          <w:szCs w:val="20"/>
        </w:rPr>
        <w:t xml:space="preserve"> </w:t>
      </w:r>
      <w:r w:rsidRPr="001F0BAF">
        <w:rPr>
          <w:szCs w:val="20"/>
        </w:rPr>
        <w:t>todo el potencial de la fuerza de trabajo mundial.</w:t>
      </w:r>
      <w:r>
        <w:rPr>
          <w:szCs w:val="20"/>
        </w:rPr>
        <w:t xml:space="preserve"> Para lo cual, es necesario considerar lo identificado por </w:t>
      </w:r>
      <w:r w:rsidRPr="00ED4E76">
        <w:rPr>
          <w:color w:val="000000" w:themeColor="text1"/>
          <w:szCs w:val="20"/>
        </w:rPr>
        <w:t>Senge</w:t>
      </w:r>
      <w:r w:rsidR="009325CA">
        <w:rPr>
          <w:color w:val="000000" w:themeColor="text1"/>
          <w:szCs w:val="20"/>
        </w:rPr>
        <w:t>,</w:t>
      </w:r>
      <w:r w:rsidRPr="00ED4E76">
        <w:rPr>
          <w:color w:val="000000" w:themeColor="text1"/>
          <w:szCs w:val="20"/>
        </w:rPr>
        <w:t xml:space="preserve"> </w:t>
      </w:r>
      <w:r w:rsidR="009325CA">
        <w:rPr>
          <w:color w:val="000000" w:themeColor="text1"/>
          <w:szCs w:val="20"/>
        </w:rPr>
        <w:t xml:space="preserve">et al., </w:t>
      </w:r>
      <w:r w:rsidRPr="00ED4E76">
        <w:rPr>
          <w:color w:val="000000" w:themeColor="text1"/>
          <w:szCs w:val="20"/>
        </w:rPr>
        <w:t>(20</w:t>
      </w:r>
      <w:r w:rsidR="009325CA">
        <w:rPr>
          <w:color w:val="000000" w:themeColor="text1"/>
          <w:szCs w:val="20"/>
        </w:rPr>
        <w:t>12</w:t>
      </w:r>
      <w:r w:rsidRPr="00ED4E76">
        <w:rPr>
          <w:color w:val="000000" w:themeColor="text1"/>
          <w:szCs w:val="20"/>
        </w:rPr>
        <w:t xml:space="preserve">) </w:t>
      </w:r>
      <w:r>
        <w:rPr>
          <w:color w:val="000000" w:themeColor="text1"/>
          <w:szCs w:val="20"/>
        </w:rPr>
        <w:t>quien</w:t>
      </w:r>
      <w:r w:rsidR="005B12E2">
        <w:rPr>
          <w:color w:val="000000" w:themeColor="text1"/>
          <w:szCs w:val="20"/>
        </w:rPr>
        <w:t>es</w:t>
      </w:r>
      <w:r>
        <w:rPr>
          <w:color w:val="000000" w:themeColor="text1"/>
          <w:szCs w:val="20"/>
        </w:rPr>
        <w:t xml:space="preserve"> </w:t>
      </w:r>
      <w:r w:rsidRPr="00ED4E76">
        <w:rPr>
          <w:color w:val="000000" w:themeColor="text1"/>
          <w:szCs w:val="20"/>
        </w:rPr>
        <w:t>reflexiona</w:t>
      </w:r>
      <w:r w:rsidR="005B12E2">
        <w:rPr>
          <w:color w:val="000000" w:themeColor="text1"/>
          <w:szCs w:val="20"/>
        </w:rPr>
        <w:t>n</w:t>
      </w:r>
      <w:r w:rsidRPr="00ED4E76">
        <w:rPr>
          <w:color w:val="000000" w:themeColor="text1"/>
          <w:szCs w:val="20"/>
        </w:rPr>
        <w:t xml:space="preserve"> sobre los recursos que posee la organización, y en referencia al recurso humano, explica</w:t>
      </w:r>
      <w:r w:rsidR="005B12E2">
        <w:rPr>
          <w:color w:val="000000" w:themeColor="text1"/>
          <w:szCs w:val="20"/>
        </w:rPr>
        <w:t>n</w:t>
      </w:r>
      <w:r w:rsidRPr="00ED4E76">
        <w:rPr>
          <w:color w:val="000000" w:themeColor="text1"/>
          <w:szCs w:val="20"/>
        </w:rPr>
        <w:t xml:space="preserve"> que “…las personas no son un recurso, las personas son la organización”, de ahí que</w:t>
      </w:r>
      <w:r>
        <w:rPr>
          <w:color w:val="000000" w:themeColor="text1"/>
          <w:szCs w:val="20"/>
        </w:rPr>
        <w:t>,</w:t>
      </w:r>
      <w:r w:rsidRPr="00ED4E76">
        <w:rPr>
          <w:color w:val="000000" w:themeColor="text1"/>
          <w:szCs w:val="20"/>
        </w:rPr>
        <w:t xml:space="preserve"> si no se toman en cuenta las reglas primordiales del comportamiento humano</w:t>
      </w:r>
      <w:r>
        <w:rPr>
          <w:color w:val="000000" w:themeColor="text1"/>
          <w:szCs w:val="20"/>
        </w:rPr>
        <w:t>,</w:t>
      </w:r>
      <w:r w:rsidRPr="00ED4E76">
        <w:rPr>
          <w:color w:val="000000" w:themeColor="text1"/>
          <w:szCs w:val="20"/>
        </w:rPr>
        <w:t xml:space="preserve"> fracasarán los intentos por administrar el conocimiento en el seno institucional.</w:t>
      </w:r>
      <w:r>
        <w:rPr>
          <w:color w:val="000000" w:themeColor="text1"/>
          <w:szCs w:val="20"/>
        </w:rPr>
        <w:t xml:space="preserve"> </w:t>
      </w:r>
    </w:p>
    <w:p w14:paraId="72C9C816" w14:textId="77777777" w:rsidR="00632E09" w:rsidRDefault="00632E09" w:rsidP="00ED0B05">
      <w:pPr>
        <w:spacing w:line="360" w:lineRule="auto"/>
        <w:jc w:val="both"/>
        <w:rPr>
          <w:color w:val="000000" w:themeColor="text1"/>
          <w:szCs w:val="20"/>
        </w:rPr>
      </w:pPr>
    </w:p>
    <w:p w14:paraId="1F0E7C63" w14:textId="6A6472A3" w:rsidR="00632E09" w:rsidRDefault="00632E09" w:rsidP="00632E09">
      <w:pPr>
        <w:spacing w:line="360" w:lineRule="auto"/>
        <w:jc w:val="both"/>
        <w:rPr>
          <w:szCs w:val="20"/>
        </w:rPr>
      </w:pPr>
      <w:r w:rsidRPr="00D94C6D">
        <w:rPr>
          <w:szCs w:val="20"/>
        </w:rPr>
        <w:t>Adicionalmente, Wolff y Booth (2017)</w:t>
      </w:r>
      <w:r w:rsidR="00E0091A">
        <w:rPr>
          <w:szCs w:val="20"/>
        </w:rPr>
        <w:t>,</w:t>
      </w:r>
      <w:r w:rsidRPr="00D94C6D">
        <w:rPr>
          <w:szCs w:val="20"/>
        </w:rPr>
        <w:t xml:space="preserve"> argumentaron que las IES se encuentran ante la necesidad de decidir cómo fomentar y evaluar el desarrollo de competencias para la empleabilidad en sus estudiantes. Los autores comentaron que, sin duda, las personas responsables por el desarrollo de los estudiantes universitarios</w:t>
      </w:r>
      <w:r w:rsidR="004E3238">
        <w:rPr>
          <w:szCs w:val="20"/>
        </w:rPr>
        <w:t>,</w:t>
      </w:r>
      <w:r w:rsidRPr="00D94C6D">
        <w:rPr>
          <w:szCs w:val="20"/>
        </w:rPr>
        <w:t xml:space="preserve"> buscarán ayudarles para que se conviertan en profesionistas que se coloquen con facilidad en empleos bien remunerados;</w:t>
      </w:r>
      <w:r>
        <w:rPr>
          <w:szCs w:val="20"/>
        </w:rPr>
        <w:t xml:space="preserve"> </w:t>
      </w:r>
      <w:r w:rsidRPr="00D94C6D">
        <w:rPr>
          <w:szCs w:val="20"/>
        </w:rPr>
        <w:t>sin embargo, consideraron arriesgado suponer que los líderes educativos y docentes</w:t>
      </w:r>
      <w:r w:rsidR="00843D93">
        <w:rPr>
          <w:szCs w:val="20"/>
        </w:rPr>
        <w:t>,</w:t>
      </w:r>
      <w:r w:rsidRPr="00D94C6D">
        <w:rPr>
          <w:szCs w:val="20"/>
        </w:rPr>
        <w:t xml:space="preserve"> </w:t>
      </w:r>
      <w:r w:rsidR="008B0138">
        <w:rPr>
          <w:szCs w:val="20"/>
        </w:rPr>
        <w:t>conocen que</w:t>
      </w:r>
      <w:r w:rsidRPr="00D94C6D">
        <w:rPr>
          <w:szCs w:val="20"/>
        </w:rPr>
        <w:t xml:space="preserve"> competencias se </w:t>
      </w:r>
      <w:r w:rsidR="008B0138">
        <w:rPr>
          <w:szCs w:val="20"/>
        </w:rPr>
        <w:t>requieren para favorecer</w:t>
      </w:r>
      <w:r w:rsidRPr="00D94C6D">
        <w:rPr>
          <w:szCs w:val="20"/>
        </w:rPr>
        <w:t xml:space="preserve"> la empleabilidad de sus </w:t>
      </w:r>
      <w:r>
        <w:rPr>
          <w:szCs w:val="20"/>
        </w:rPr>
        <w:t>estudiante</w:t>
      </w:r>
      <w:r w:rsidRPr="00D94C6D">
        <w:rPr>
          <w:szCs w:val="20"/>
        </w:rPr>
        <w:t>s.</w:t>
      </w:r>
    </w:p>
    <w:p w14:paraId="7A4A7E4B" w14:textId="77777777" w:rsidR="00D92FF6" w:rsidRDefault="00D92FF6" w:rsidP="00D92FF6">
      <w:pPr>
        <w:shd w:val="clear" w:color="auto" w:fill="FFFFFF"/>
        <w:spacing w:line="360" w:lineRule="auto"/>
        <w:jc w:val="both"/>
        <w:rPr>
          <w:szCs w:val="20"/>
        </w:rPr>
      </w:pPr>
    </w:p>
    <w:p w14:paraId="4AD05484" w14:textId="608395B5" w:rsidR="00632E09" w:rsidRDefault="00D92FF6" w:rsidP="00843D93">
      <w:pPr>
        <w:shd w:val="clear" w:color="auto" w:fill="FFFFFF"/>
        <w:spacing w:line="360" w:lineRule="auto"/>
        <w:jc w:val="both"/>
        <w:rPr>
          <w:szCs w:val="20"/>
        </w:rPr>
      </w:pPr>
      <w:r w:rsidRPr="00632E09">
        <w:rPr>
          <w:szCs w:val="20"/>
        </w:rPr>
        <w:t>Preparar estudiantes para la empleabilidad y para la vida en general</w:t>
      </w:r>
      <w:r w:rsidR="00843D93">
        <w:rPr>
          <w:szCs w:val="20"/>
        </w:rPr>
        <w:t>,</w:t>
      </w:r>
      <w:r>
        <w:rPr>
          <w:szCs w:val="20"/>
        </w:rPr>
        <w:t xml:space="preserve"> r</w:t>
      </w:r>
      <w:r w:rsidRPr="00632E09">
        <w:rPr>
          <w:szCs w:val="20"/>
        </w:rPr>
        <w:t>equiere de un enfoque sistémico donde intervienen diferentes actores de la comunidad, la escuela, la industria y el hogar (DiBenedetto y Myers, 2016).</w:t>
      </w:r>
      <w:r w:rsidR="00843D93">
        <w:rPr>
          <w:szCs w:val="20"/>
        </w:rPr>
        <w:t xml:space="preserve"> </w:t>
      </w:r>
      <w:r w:rsidR="00E57216">
        <w:rPr>
          <w:szCs w:val="20"/>
        </w:rPr>
        <w:t xml:space="preserve">Díaz </w:t>
      </w:r>
      <w:r w:rsidR="007641E0">
        <w:rPr>
          <w:szCs w:val="20"/>
        </w:rPr>
        <w:t xml:space="preserve">Gómez </w:t>
      </w:r>
      <w:r w:rsidR="00E57216">
        <w:rPr>
          <w:szCs w:val="20"/>
        </w:rPr>
        <w:t>(2019), indica que e</w:t>
      </w:r>
      <w:r w:rsidR="00632E09" w:rsidRPr="00632E09">
        <w:rPr>
          <w:color w:val="000000" w:themeColor="text1"/>
          <w:szCs w:val="20"/>
        </w:rPr>
        <w:t>l enfoque educativo de Boyer</w:t>
      </w:r>
      <w:r w:rsidR="007641E0">
        <w:rPr>
          <w:color w:val="000000" w:themeColor="text1"/>
          <w:szCs w:val="20"/>
        </w:rPr>
        <w:t xml:space="preserve"> (2016)</w:t>
      </w:r>
      <w:r w:rsidR="00843D93">
        <w:rPr>
          <w:color w:val="000000" w:themeColor="text1"/>
          <w:szCs w:val="20"/>
        </w:rPr>
        <w:t>,</w:t>
      </w:r>
      <w:r w:rsidR="00632E09" w:rsidRPr="00632E09">
        <w:rPr>
          <w:color w:val="000000" w:themeColor="text1"/>
          <w:szCs w:val="20"/>
        </w:rPr>
        <w:t xml:space="preserve"> sugiere que las divisiones entre la docencia, investigación y administración educativa deben ser porosas, para permitir la creación de un sistema organizacional que facilite el cumplimiento de metas de mayor orden que los objetivos específicos por funciones o departamentos organizacionales.</w:t>
      </w:r>
      <w:r w:rsidR="00843D93">
        <w:rPr>
          <w:color w:val="000000" w:themeColor="text1"/>
          <w:szCs w:val="20"/>
        </w:rPr>
        <w:t xml:space="preserve"> Para lo cual</w:t>
      </w:r>
      <w:r w:rsidR="00E57216">
        <w:rPr>
          <w:color w:val="000000" w:themeColor="text1"/>
          <w:szCs w:val="20"/>
        </w:rPr>
        <w:t>,</w:t>
      </w:r>
      <w:r w:rsidR="00843D93">
        <w:rPr>
          <w:color w:val="000000" w:themeColor="text1"/>
          <w:szCs w:val="20"/>
        </w:rPr>
        <w:t xml:space="preserve"> se requiere f</w:t>
      </w:r>
      <w:r w:rsidR="00632E09" w:rsidRPr="00E17AB8">
        <w:rPr>
          <w:szCs w:val="20"/>
        </w:rPr>
        <w:t>omentar culturas</w:t>
      </w:r>
      <w:r w:rsidR="00632E09">
        <w:rPr>
          <w:szCs w:val="20"/>
        </w:rPr>
        <w:t xml:space="preserve"> </w:t>
      </w:r>
      <w:r w:rsidR="00632E09" w:rsidRPr="00E17AB8">
        <w:rPr>
          <w:szCs w:val="20"/>
        </w:rPr>
        <w:t>educativas que evolucionen a través de sus experiencias</w:t>
      </w:r>
      <w:r w:rsidR="00843D93">
        <w:rPr>
          <w:szCs w:val="20"/>
        </w:rPr>
        <w:t>,</w:t>
      </w:r>
      <w:r w:rsidR="00632E09" w:rsidRPr="00E17AB8">
        <w:rPr>
          <w:szCs w:val="20"/>
        </w:rPr>
        <w:t xml:space="preserve"> implica implementar un</w:t>
      </w:r>
      <w:r w:rsidR="00632E09">
        <w:rPr>
          <w:szCs w:val="20"/>
        </w:rPr>
        <w:t xml:space="preserve"> </w:t>
      </w:r>
      <w:r w:rsidR="00632E09" w:rsidRPr="00E17AB8">
        <w:rPr>
          <w:szCs w:val="20"/>
        </w:rPr>
        <w:t xml:space="preserve">estilo de liderazgo relajado sobre los cuerpos colegiados o </w:t>
      </w:r>
      <w:r w:rsidR="00632E09" w:rsidRPr="00E17AB8">
        <w:rPr>
          <w:szCs w:val="20"/>
        </w:rPr>
        <w:lastRenderedPageBreak/>
        <w:t>academias, lo cual sucede por tradición en los entornos educativos (Huisman y Currie 2004).</w:t>
      </w:r>
    </w:p>
    <w:p w14:paraId="5D4D0086" w14:textId="77777777" w:rsidR="00632E09" w:rsidRDefault="00632E09" w:rsidP="00632E09">
      <w:pPr>
        <w:spacing w:line="360" w:lineRule="auto"/>
        <w:jc w:val="both"/>
        <w:rPr>
          <w:szCs w:val="20"/>
        </w:rPr>
      </w:pPr>
    </w:p>
    <w:p w14:paraId="2EAEAC94" w14:textId="755ECD5C" w:rsidR="00ED0B05" w:rsidRPr="00ED0B05" w:rsidRDefault="00E57216" w:rsidP="00ED0B05">
      <w:pPr>
        <w:spacing w:line="360" w:lineRule="auto"/>
        <w:jc w:val="both"/>
        <w:rPr>
          <w:color w:val="000000" w:themeColor="text1"/>
          <w:szCs w:val="20"/>
        </w:rPr>
      </w:pPr>
      <w:r>
        <w:rPr>
          <w:color w:val="000000" w:themeColor="text1"/>
          <w:szCs w:val="20"/>
        </w:rPr>
        <w:t>Para concluir; l</w:t>
      </w:r>
      <w:r w:rsidR="00ED0B05" w:rsidRPr="00ED0B05">
        <w:rPr>
          <w:color w:val="000000" w:themeColor="text1"/>
          <w:szCs w:val="20"/>
        </w:rPr>
        <w:t>as IES necesitan mejorar su actuar, integrando tecnologías, actualizando la formación docente, creando espacios que faciliten la creatividad e innovación con proyectos de investigación, dando respuesta a necesidades sociales, culturales y laborales.</w:t>
      </w:r>
      <w:r>
        <w:rPr>
          <w:color w:val="000000" w:themeColor="text1"/>
          <w:szCs w:val="20"/>
        </w:rPr>
        <w:t xml:space="preserve"> Lo anterior, permitirá fortalecer las competencias de los estudiantes para favorecer su empleabilidad desde una perspectiva integral, en la que </w:t>
      </w:r>
      <w:r w:rsidR="00DC30B0">
        <w:rPr>
          <w:color w:val="000000" w:themeColor="text1"/>
          <w:szCs w:val="20"/>
        </w:rPr>
        <w:t>ellos</w:t>
      </w:r>
      <w:r>
        <w:rPr>
          <w:color w:val="000000" w:themeColor="text1"/>
          <w:szCs w:val="20"/>
        </w:rPr>
        <w:t xml:space="preserve"> sean actores </w:t>
      </w:r>
      <w:r w:rsidR="000451A0">
        <w:rPr>
          <w:color w:val="000000" w:themeColor="text1"/>
          <w:szCs w:val="20"/>
        </w:rPr>
        <w:t xml:space="preserve">proactivos </w:t>
      </w:r>
      <w:r>
        <w:rPr>
          <w:color w:val="000000" w:themeColor="text1"/>
          <w:szCs w:val="20"/>
        </w:rPr>
        <w:t>y no s</w:t>
      </w:r>
      <w:r w:rsidR="00220853">
        <w:rPr>
          <w:color w:val="000000" w:themeColor="text1"/>
          <w:szCs w:val="20"/>
        </w:rPr>
        <w:t>o</w:t>
      </w:r>
      <w:r>
        <w:rPr>
          <w:color w:val="000000" w:themeColor="text1"/>
          <w:szCs w:val="20"/>
        </w:rPr>
        <w:t>l</w:t>
      </w:r>
      <w:r w:rsidR="00220853">
        <w:rPr>
          <w:color w:val="000000" w:themeColor="text1"/>
          <w:szCs w:val="20"/>
        </w:rPr>
        <w:t>amente</w:t>
      </w:r>
      <w:r>
        <w:rPr>
          <w:color w:val="000000" w:themeColor="text1"/>
          <w:szCs w:val="20"/>
        </w:rPr>
        <w:t xml:space="preserve"> receptores de las acciones universitarias</w:t>
      </w:r>
      <w:r w:rsidR="00220853">
        <w:rPr>
          <w:color w:val="000000" w:themeColor="text1"/>
          <w:szCs w:val="20"/>
        </w:rPr>
        <w:t xml:space="preserve"> y de su entorno</w:t>
      </w:r>
      <w:r>
        <w:rPr>
          <w:color w:val="000000" w:themeColor="text1"/>
          <w:szCs w:val="20"/>
        </w:rPr>
        <w:t>.</w:t>
      </w:r>
      <w:r w:rsidR="00115D2D">
        <w:rPr>
          <w:color w:val="000000" w:themeColor="text1"/>
          <w:szCs w:val="20"/>
        </w:rPr>
        <w:t xml:space="preserve"> La integración de los estudiantes como actores proactivos requiere de comprender sus percepciones, de ahí la importancia de la presente investigación.</w:t>
      </w:r>
    </w:p>
    <w:p w14:paraId="313DE609" w14:textId="77777777" w:rsidR="00ED0B05" w:rsidRDefault="00ED0B05" w:rsidP="000E6382">
      <w:pPr>
        <w:spacing w:line="360" w:lineRule="auto"/>
        <w:jc w:val="both"/>
        <w:rPr>
          <w:color w:val="000000" w:themeColor="text1"/>
          <w:szCs w:val="20"/>
        </w:rPr>
      </w:pPr>
    </w:p>
    <w:p w14:paraId="1A0BA9AF" w14:textId="1377DA0B" w:rsidR="005C1920" w:rsidRPr="008A44BA" w:rsidRDefault="005C1920" w:rsidP="000E6382">
      <w:pPr>
        <w:spacing w:line="360" w:lineRule="auto"/>
        <w:rPr>
          <w:b/>
          <w:color w:val="244061"/>
          <w:sz w:val="28"/>
        </w:rPr>
      </w:pPr>
      <w:r w:rsidRPr="008A44BA">
        <w:rPr>
          <w:b/>
          <w:color w:val="244061"/>
          <w:sz w:val="28"/>
        </w:rPr>
        <w:t xml:space="preserve">Referencias </w:t>
      </w:r>
    </w:p>
    <w:p w14:paraId="04D183BA" w14:textId="77777777" w:rsidR="00F87CD8" w:rsidRPr="009B1EB4" w:rsidRDefault="00F87CD8" w:rsidP="009B1EB4">
      <w:pPr>
        <w:pStyle w:val="Textoindependiente"/>
        <w:spacing w:line="360" w:lineRule="auto"/>
        <w:ind w:left="567" w:hanging="567"/>
        <w:jc w:val="both"/>
        <w:rPr>
          <w:rFonts w:cs="Arial"/>
          <w:b w:val="0"/>
          <w:sz w:val="22"/>
          <w:szCs w:val="22"/>
        </w:rPr>
      </w:pPr>
      <w:r w:rsidRPr="009B1EB4">
        <w:rPr>
          <w:rFonts w:cs="Arial"/>
          <w:b w:val="0"/>
          <w:sz w:val="22"/>
          <w:szCs w:val="22"/>
        </w:rPr>
        <w:t xml:space="preserve">Bisquerra, R. y Pérez, N. (2015). ¿Pueden las escalas Likert aumentar la sensibilidad? REIRE, </w:t>
      </w:r>
      <w:r w:rsidRPr="009B1EB4">
        <w:rPr>
          <w:rFonts w:cs="Arial"/>
          <w:b w:val="0"/>
          <w:i/>
          <w:sz w:val="22"/>
          <w:szCs w:val="22"/>
        </w:rPr>
        <w:t>Revista d’Innovació i Recerca en Educació, 8</w:t>
      </w:r>
      <w:r w:rsidRPr="009B1EB4">
        <w:rPr>
          <w:rFonts w:cs="Arial"/>
          <w:b w:val="0"/>
          <w:sz w:val="22"/>
          <w:szCs w:val="22"/>
        </w:rPr>
        <w:t xml:space="preserve"> (2), pp. 129-147. Recuperado de https://revistes.ub.edu/index.php/REIRE/article/view/reire2015.8.2828/17680 </w:t>
      </w:r>
    </w:p>
    <w:p w14:paraId="65BF22AE" w14:textId="0A423AEC" w:rsidR="009325CA" w:rsidRPr="009B1EB4" w:rsidRDefault="009325CA" w:rsidP="009B1EB4">
      <w:pPr>
        <w:pStyle w:val="Textoindependiente"/>
        <w:spacing w:line="360" w:lineRule="auto"/>
        <w:ind w:left="567" w:hanging="567"/>
        <w:jc w:val="both"/>
        <w:rPr>
          <w:rFonts w:cs="Arial"/>
          <w:b w:val="0"/>
          <w:sz w:val="22"/>
          <w:szCs w:val="22"/>
        </w:rPr>
      </w:pPr>
      <w:r w:rsidRPr="009B1EB4">
        <w:rPr>
          <w:b w:val="0"/>
          <w:bCs w:val="0"/>
          <w:sz w:val="22"/>
          <w:szCs w:val="22"/>
          <w:lang w:val="en-US"/>
        </w:rPr>
        <w:t xml:space="preserve">Boyer, E.L., Moser, D., Ream, T.C. y Braxton, J.M. (2016). Scholarship reconsidered: Priorities </w:t>
      </w:r>
      <w:r w:rsidRPr="009B1EB4">
        <w:rPr>
          <w:b w:val="0"/>
          <w:sz w:val="22"/>
          <w:szCs w:val="22"/>
          <w:lang w:val="en-US"/>
        </w:rPr>
        <w:t xml:space="preserve">of the professoriate (expanded edition). </w:t>
      </w:r>
      <w:r w:rsidRPr="00B30A65">
        <w:rPr>
          <w:b w:val="0"/>
          <w:sz w:val="22"/>
          <w:szCs w:val="22"/>
        </w:rPr>
        <w:t xml:space="preserve">Estados Unidos: </w:t>
      </w:r>
      <w:r w:rsidRPr="009B1EB4">
        <w:rPr>
          <w:b w:val="0"/>
          <w:sz w:val="22"/>
          <w:szCs w:val="22"/>
        </w:rPr>
        <w:t>Jossey-Bass</w:t>
      </w:r>
      <w:r w:rsidRPr="009B1EB4">
        <w:rPr>
          <w:rFonts w:cs="Arial"/>
          <w:b w:val="0"/>
          <w:sz w:val="22"/>
          <w:szCs w:val="22"/>
        </w:rPr>
        <w:t xml:space="preserve"> </w:t>
      </w:r>
    </w:p>
    <w:p w14:paraId="74B71C7B" w14:textId="02CF4CBA" w:rsidR="00F87CD8" w:rsidRPr="009B1EB4" w:rsidRDefault="00F87CD8" w:rsidP="009B1EB4">
      <w:pPr>
        <w:pStyle w:val="Textoindependiente"/>
        <w:spacing w:line="360" w:lineRule="auto"/>
        <w:ind w:left="567" w:hanging="567"/>
        <w:jc w:val="both"/>
        <w:rPr>
          <w:rFonts w:cs="Arial"/>
          <w:b w:val="0"/>
          <w:sz w:val="22"/>
          <w:szCs w:val="22"/>
        </w:rPr>
      </w:pPr>
      <w:r w:rsidRPr="009B1EB4">
        <w:rPr>
          <w:rFonts w:cs="Arial"/>
          <w:b w:val="0"/>
          <w:sz w:val="22"/>
          <w:szCs w:val="22"/>
        </w:rPr>
        <w:t xml:space="preserve">Braidot, N. (2016). </w:t>
      </w:r>
      <w:r w:rsidRPr="009B1EB4">
        <w:rPr>
          <w:rFonts w:cs="Arial"/>
          <w:b w:val="0"/>
          <w:i/>
          <w:sz w:val="22"/>
          <w:szCs w:val="22"/>
        </w:rPr>
        <w:t>Neurociencias para tu vida</w:t>
      </w:r>
      <w:r w:rsidRPr="009B1EB4">
        <w:rPr>
          <w:rFonts w:cs="Arial"/>
          <w:b w:val="0"/>
          <w:sz w:val="22"/>
          <w:szCs w:val="22"/>
        </w:rPr>
        <w:t>. Buenos Aires, Argentina: Granica</w:t>
      </w:r>
    </w:p>
    <w:p w14:paraId="72E0F9FF" w14:textId="4AD638DC" w:rsidR="00972A64" w:rsidRPr="009B1EB4" w:rsidRDefault="00972A64" w:rsidP="009B1EB4">
      <w:pPr>
        <w:pStyle w:val="Textoindependiente"/>
        <w:spacing w:line="360" w:lineRule="auto"/>
        <w:ind w:left="567" w:hanging="567"/>
        <w:jc w:val="both"/>
        <w:rPr>
          <w:rFonts w:cs="Arial"/>
          <w:b w:val="0"/>
          <w:sz w:val="22"/>
          <w:szCs w:val="22"/>
        </w:rPr>
      </w:pPr>
      <w:r w:rsidRPr="009B1EB4">
        <w:rPr>
          <w:rFonts w:cs="Arial"/>
          <w:b w:val="0"/>
          <w:sz w:val="22"/>
          <w:szCs w:val="22"/>
        </w:rPr>
        <w:t xml:space="preserve">Centro Interamericano para el Desarrollo del Conocimiento en la Formación Profesional de la Organización Internacional del Trabajo </w:t>
      </w:r>
      <w:r w:rsidR="007641E0">
        <w:rPr>
          <w:rFonts w:cs="Arial"/>
          <w:b w:val="0"/>
          <w:sz w:val="22"/>
          <w:szCs w:val="22"/>
        </w:rPr>
        <w:t>(</w:t>
      </w:r>
      <w:r w:rsidR="007641E0" w:rsidRPr="007641E0">
        <w:rPr>
          <w:rFonts w:cs="Arial"/>
          <w:b w:val="0"/>
          <w:sz w:val="22"/>
          <w:szCs w:val="22"/>
        </w:rPr>
        <w:t>CINTERFOR</w:t>
      </w:r>
      <w:r w:rsidR="007641E0">
        <w:rPr>
          <w:rFonts w:cs="Arial"/>
          <w:b w:val="0"/>
          <w:sz w:val="22"/>
          <w:szCs w:val="22"/>
        </w:rPr>
        <w:t xml:space="preserve">) </w:t>
      </w:r>
      <w:r w:rsidRPr="009B1EB4">
        <w:rPr>
          <w:rFonts w:cs="Arial"/>
          <w:b w:val="0"/>
          <w:sz w:val="22"/>
          <w:szCs w:val="22"/>
        </w:rPr>
        <w:t xml:space="preserve">(17 de mayo de 2023). </w:t>
      </w:r>
      <w:r w:rsidR="00635EDF" w:rsidRPr="009B1EB4">
        <w:rPr>
          <w:rFonts w:cs="Arial"/>
          <w:b w:val="0"/>
          <w:i/>
          <w:sz w:val="22"/>
          <w:szCs w:val="22"/>
        </w:rPr>
        <w:t>Empleabilidad</w:t>
      </w:r>
      <w:r w:rsidR="00635EDF" w:rsidRPr="009B1EB4">
        <w:rPr>
          <w:rFonts w:cs="Arial"/>
          <w:b w:val="0"/>
          <w:sz w:val="22"/>
          <w:szCs w:val="22"/>
        </w:rPr>
        <w:t xml:space="preserve">. </w:t>
      </w:r>
      <w:r w:rsidRPr="009B1EB4">
        <w:rPr>
          <w:rFonts w:cs="Arial"/>
          <w:b w:val="0"/>
          <w:sz w:val="22"/>
          <w:szCs w:val="22"/>
        </w:rPr>
        <w:t>https://www.oitcinterfor.org/taxonomy/term/3406#:~:text=Se%20refiere%20a%20las%20competencias,y%20conservar%20un%20trabajo%20decente.</w:t>
      </w:r>
    </w:p>
    <w:p w14:paraId="198C9902" w14:textId="77777777" w:rsidR="00F87CD8" w:rsidRPr="009B1EB4" w:rsidRDefault="00F87CD8" w:rsidP="009B1EB4">
      <w:pPr>
        <w:pStyle w:val="Textoindependiente"/>
        <w:spacing w:line="360" w:lineRule="auto"/>
        <w:ind w:left="567" w:hanging="567"/>
        <w:jc w:val="both"/>
        <w:rPr>
          <w:rFonts w:cs="Arial"/>
          <w:b w:val="0"/>
          <w:sz w:val="22"/>
          <w:szCs w:val="22"/>
        </w:rPr>
      </w:pPr>
      <w:r w:rsidRPr="009B1EB4">
        <w:rPr>
          <w:rFonts w:cs="Arial"/>
          <w:b w:val="0"/>
          <w:sz w:val="22"/>
          <w:szCs w:val="22"/>
        </w:rPr>
        <w:t xml:space="preserve">Consejo de la Unión Europea (2018). </w:t>
      </w:r>
      <w:r w:rsidRPr="009B1EB4">
        <w:rPr>
          <w:rFonts w:cs="Arial"/>
          <w:b w:val="0"/>
          <w:i/>
          <w:sz w:val="22"/>
          <w:szCs w:val="22"/>
        </w:rPr>
        <w:t>Recomendación del consejo relativa a las competencias clave para el aprendizaje permanente</w:t>
      </w:r>
      <w:r w:rsidRPr="009B1EB4">
        <w:rPr>
          <w:rFonts w:cs="Arial"/>
          <w:b w:val="0"/>
          <w:sz w:val="22"/>
          <w:szCs w:val="22"/>
        </w:rPr>
        <w:t xml:space="preserve">. Recuperado de https://eur-lex.europa.eu/legal-content/ES/TXT/PDF/?uri=CELEX:32018H0604(01)&amp;from=ES </w:t>
      </w:r>
    </w:p>
    <w:p w14:paraId="41D69A99" w14:textId="77777777" w:rsidR="00F87CD8" w:rsidRPr="009B1EB4" w:rsidRDefault="00F87CD8" w:rsidP="009B1EB4">
      <w:pPr>
        <w:pStyle w:val="Textoindependiente"/>
        <w:spacing w:line="360" w:lineRule="auto"/>
        <w:ind w:left="567" w:hanging="567"/>
        <w:jc w:val="both"/>
        <w:rPr>
          <w:rFonts w:cs="Arial"/>
          <w:b w:val="0"/>
          <w:sz w:val="22"/>
          <w:szCs w:val="22"/>
        </w:rPr>
      </w:pPr>
      <w:r w:rsidRPr="009B1EB4">
        <w:rPr>
          <w:rFonts w:cs="Arial"/>
          <w:b w:val="0"/>
          <w:sz w:val="22"/>
          <w:szCs w:val="22"/>
        </w:rPr>
        <w:t xml:space="preserve">Consejo de la Unión Europea (2021). </w:t>
      </w:r>
      <w:r w:rsidRPr="009B1EB4">
        <w:rPr>
          <w:rFonts w:cs="Arial"/>
          <w:b w:val="0"/>
          <w:i/>
          <w:sz w:val="22"/>
          <w:szCs w:val="22"/>
        </w:rPr>
        <w:t>Resolución del Consejo relativa a un marco estratégico para la cooperación europea en el ámbito de la educación y la formación con miras al Espacio Europeo de Educación y más allá (2021-2030).</w:t>
      </w:r>
      <w:r w:rsidRPr="009B1EB4">
        <w:rPr>
          <w:rFonts w:cs="Arial"/>
          <w:b w:val="0"/>
          <w:sz w:val="22"/>
          <w:szCs w:val="22"/>
        </w:rPr>
        <w:t xml:space="preserve"> Recuperado de https://eur-lex.europa.eu/legal-content/ES/TXT/PDF/?uri=OJ:C:2021:066:FULL&amp;from=ES </w:t>
      </w:r>
    </w:p>
    <w:p w14:paraId="398AB0E6" w14:textId="77777777" w:rsidR="00D92FF6" w:rsidRPr="009B1EB4" w:rsidRDefault="00D92FF6" w:rsidP="009B1EB4">
      <w:pPr>
        <w:pStyle w:val="Textoindependiente"/>
        <w:spacing w:line="360" w:lineRule="auto"/>
        <w:ind w:left="567" w:hanging="567"/>
        <w:jc w:val="both"/>
        <w:rPr>
          <w:rFonts w:cs="Arial"/>
          <w:b w:val="0"/>
          <w:sz w:val="22"/>
          <w:szCs w:val="22"/>
        </w:rPr>
      </w:pPr>
      <w:r w:rsidRPr="009B1EB4">
        <w:rPr>
          <w:rFonts w:cs="Arial"/>
          <w:b w:val="0"/>
          <w:sz w:val="22"/>
          <w:szCs w:val="22"/>
        </w:rPr>
        <w:lastRenderedPageBreak/>
        <w:t xml:space="preserve">Díaz Gómez, E. R. (2019). Educación para la empleabilidad: enfoque de la investigación educativa. IE Revista de Investigación Educativa de la REDIECH, 10(19), pp. 221-238. DOI: http://dx.doi.org/10.33010/ie_rie_rediech.v10i19.715 </w:t>
      </w:r>
    </w:p>
    <w:p w14:paraId="3347964C" w14:textId="569BFECC" w:rsidR="004E032A" w:rsidRPr="009B1EB4" w:rsidRDefault="004E032A" w:rsidP="009B1EB4">
      <w:pPr>
        <w:pStyle w:val="Textoindependiente"/>
        <w:spacing w:line="360" w:lineRule="auto"/>
        <w:ind w:left="567" w:hanging="567"/>
        <w:jc w:val="both"/>
        <w:rPr>
          <w:rFonts w:cs="Arial"/>
          <w:b w:val="0"/>
          <w:sz w:val="22"/>
          <w:szCs w:val="22"/>
        </w:rPr>
      </w:pPr>
      <w:r w:rsidRPr="009B1EB4">
        <w:rPr>
          <w:rFonts w:cs="Arial"/>
          <w:b w:val="0"/>
          <w:sz w:val="22"/>
          <w:szCs w:val="22"/>
        </w:rPr>
        <w:t xml:space="preserve">Díaz Vargas, E. (2020). Aprendizaje organizacional estrategia infalible de la competitividad empresarial en CIMTED (Ed.), </w:t>
      </w:r>
      <w:r w:rsidRPr="009B1EB4">
        <w:rPr>
          <w:rFonts w:cs="Arial"/>
          <w:b w:val="0"/>
          <w:i/>
          <w:sz w:val="22"/>
          <w:szCs w:val="22"/>
        </w:rPr>
        <w:t>Tecnociencia y sociedad</w:t>
      </w:r>
      <w:r w:rsidRPr="009B1EB4">
        <w:rPr>
          <w:rFonts w:cs="Arial"/>
          <w:b w:val="0"/>
          <w:sz w:val="22"/>
          <w:szCs w:val="22"/>
        </w:rPr>
        <w:t>. (pp. 172-190). Centro Internacional y el Marketing Territorial para la Educación y el Desarrollo (CIMTED).</w:t>
      </w:r>
    </w:p>
    <w:p w14:paraId="5C19ADFF" w14:textId="7F4D51A1" w:rsidR="009325CA" w:rsidRPr="00B30A65" w:rsidRDefault="009325CA" w:rsidP="009B1EB4">
      <w:pPr>
        <w:pStyle w:val="Textoindependiente"/>
        <w:spacing w:line="360" w:lineRule="auto"/>
        <w:ind w:left="567" w:hanging="567"/>
        <w:jc w:val="both"/>
        <w:rPr>
          <w:rFonts w:cs="Arial"/>
          <w:b w:val="0"/>
          <w:sz w:val="22"/>
          <w:szCs w:val="22"/>
        </w:rPr>
      </w:pPr>
      <w:r w:rsidRPr="009B1EB4">
        <w:rPr>
          <w:rFonts w:cs="Arial"/>
          <w:b w:val="0"/>
          <w:sz w:val="22"/>
          <w:szCs w:val="22"/>
          <w:lang w:val="en-US"/>
        </w:rPr>
        <w:t xml:space="preserve">Dibenedetto, C.A. y Myers, B.E. (2016). A conceptual model for the study of student readiness in the 21st century. </w:t>
      </w:r>
      <w:r w:rsidRPr="00B30A65">
        <w:rPr>
          <w:rFonts w:cs="Arial"/>
          <w:b w:val="0"/>
          <w:sz w:val="22"/>
          <w:szCs w:val="22"/>
        </w:rPr>
        <w:t>NACTA Journal, 60, 28-35.</w:t>
      </w:r>
    </w:p>
    <w:p w14:paraId="04DBE573" w14:textId="6C9C3685" w:rsidR="00F87CD8" w:rsidRPr="009B1EB4" w:rsidRDefault="00F87CD8" w:rsidP="009B1EB4">
      <w:pPr>
        <w:pStyle w:val="Textoindependiente"/>
        <w:spacing w:line="360" w:lineRule="auto"/>
        <w:ind w:left="567" w:hanging="567"/>
        <w:jc w:val="both"/>
        <w:rPr>
          <w:rFonts w:cs="Arial"/>
          <w:b w:val="0"/>
          <w:sz w:val="22"/>
          <w:szCs w:val="22"/>
        </w:rPr>
      </w:pPr>
      <w:r w:rsidRPr="009B1EB4">
        <w:rPr>
          <w:rFonts w:cs="Arial"/>
          <w:b w:val="0"/>
          <w:sz w:val="22"/>
          <w:szCs w:val="22"/>
        </w:rPr>
        <w:t xml:space="preserve">Hernández, R., y Mendoza, C. (2018). </w:t>
      </w:r>
      <w:r w:rsidRPr="009B1EB4">
        <w:rPr>
          <w:rFonts w:cs="Arial"/>
          <w:b w:val="0"/>
          <w:i/>
          <w:sz w:val="22"/>
          <w:szCs w:val="22"/>
        </w:rPr>
        <w:t xml:space="preserve">Metodología de la investigación. Las rutas cuantitativa, cualitativa y mixta. </w:t>
      </w:r>
      <w:r w:rsidRPr="009B1EB4">
        <w:rPr>
          <w:rFonts w:cs="Arial"/>
          <w:b w:val="0"/>
          <w:sz w:val="22"/>
          <w:szCs w:val="22"/>
        </w:rPr>
        <w:t>Ciudad de México, México: McGraw-Hill Interamericana.</w:t>
      </w:r>
    </w:p>
    <w:p w14:paraId="02FE1924" w14:textId="77777777" w:rsidR="00F87CD8" w:rsidRPr="009B1EB4" w:rsidRDefault="00F87CD8" w:rsidP="009B1EB4">
      <w:pPr>
        <w:pStyle w:val="Textoindependiente"/>
        <w:spacing w:line="360" w:lineRule="auto"/>
        <w:ind w:left="567" w:hanging="567"/>
        <w:jc w:val="both"/>
        <w:rPr>
          <w:rFonts w:cs="Arial"/>
          <w:b w:val="0"/>
          <w:sz w:val="22"/>
          <w:szCs w:val="22"/>
          <w:lang w:val="en-US"/>
        </w:rPr>
      </w:pPr>
      <w:r w:rsidRPr="009B1EB4">
        <w:rPr>
          <w:rFonts w:cs="Arial"/>
          <w:b w:val="0"/>
          <w:sz w:val="22"/>
          <w:szCs w:val="22"/>
        </w:rPr>
        <w:t xml:space="preserve">Hernández-Sampieri, R., Fernández, C. y Baptista, P. (2008). </w:t>
      </w:r>
      <w:r w:rsidRPr="009B1EB4">
        <w:rPr>
          <w:rFonts w:cs="Arial"/>
          <w:b w:val="0"/>
          <w:i/>
          <w:sz w:val="22"/>
          <w:szCs w:val="22"/>
        </w:rPr>
        <w:t xml:space="preserve">Metodología de la investigación. </w:t>
      </w:r>
      <w:r w:rsidRPr="009B1EB4">
        <w:rPr>
          <w:rFonts w:cs="Arial"/>
          <w:b w:val="0"/>
          <w:sz w:val="22"/>
          <w:szCs w:val="22"/>
        </w:rPr>
        <w:t xml:space="preserve">Tercera Ed. </w:t>
      </w:r>
      <w:r w:rsidRPr="009B1EB4">
        <w:rPr>
          <w:rFonts w:cs="Arial"/>
          <w:b w:val="0"/>
          <w:sz w:val="22"/>
          <w:szCs w:val="22"/>
          <w:lang w:val="en-US"/>
        </w:rPr>
        <w:t>McGraw Hill.</w:t>
      </w:r>
    </w:p>
    <w:p w14:paraId="3AA8E2B0" w14:textId="77777777" w:rsidR="009325CA" w:rsidRPr="009B1EB4" w:rsidRDefault="009325CA" w:rsidP="009B1EB4">
      <w:pPr>
        <w:pStyle w:val="Textoindependiente"/>
        <w:spacing w:line="360" w:lineRule="auto"/>
        <w:ind w:left="567" w:hanging="567"/>
        <w:jc w:val="both"/>
        <w:rPr>
          <w:rFonts w:cs="Arial"/>
          <w:b w:val="0"/>
          <w:sz w:val="22"/>
          <w:szCs w:val="22"/>
          <w:lang w:val="en-US"/>
        </w:rPr>
      </w:pPr>
      <w:r w:rsidRPr="009B1EB4">
        <w:rPr>
          <w:rFonts w:cs="Arial"/>
          <w:b w:val="0"/>
          <w:sz w:val="22"/>
          <w:szCs w:val="22"/>
        </w:rPr>
        <w:t xml:space="preserve">Huisman, J. y Currie, J. (2004). </w:t>
      </w:r>
      <w:r w:rsidRPr="009B1EB4">
        <w:rPr>
          <w:rFonts w:cs="Arial"/>
          <w:b w:val="0"/>
          <w:sz w:val="22"/>
          <w:szCs w:val="22"/>
          <w:lang w:val="en-US"/>
        </w:rPr>
        <w:t>Accountability in higher education: Bridge over troubled water? Higher Education, 48(4), 529-551.</w:t>
      </w:r>
    </w:p>
    <w:p w14:paraId="3689914D" w14:textId="77777777" w:rsidR="00F87CD8" w:rsidRPr="009B1EB4" w:rsidRDefault="00F87CD8" w:rsidP="009B1EB4">
      <w:pPr>
        <w:pStyle w:val="Textoindependiente"/>
        <w:spacing w:line="360" w:lineRule="auto"/>
        <w:ind w:left="567" w:hanging="567"/>
        <w:jc w:val="both"/>
        <w:rPr>
          <w:rFonts w:cs="Arial"/>
          <w:b w:val="0"/>
          <w:sz w:val="22"/>
          <w:szCs w:val="22"/>
        </w:rPr>
      </w:pPr>
      <w:r w:rsidRPr="00A5039F">
        <w:rPr>
          <w:rFonts w:cs="Arial"/>
          <w:b w:val="0"/>
          <w:sz w:val="22"/>
          <w:szCs w:val="22"/>
        </w:rPr>
        <w:t xml:space="preserve">Manpower Group (09 de febrero de 2022). </w:t>
      </w:r>
      <w:r w:rsidRPr="00B30A65">
        <w:rPr>
          <w:rFonts w:cs="Arial"/>
          <w:b w:val="0"/>
          <w:i/>
          <w:sz w:val="22"/>
          <w:szCs w:val="22"/>
        </w:rPr>
        <w:t xml:space="preserve">The Great Realization. </w:t>
      </w:r>
      <w:r w:rsidRPr="009B1EB4">
        <w:rPr>
          <w:rFonts w:cs="Arial"/>
          <w:b w:val="0"/>
          <w:i/>
          <w:sz w:val="22"/>
          <w:szCs w:val="22"/>
        </w:rPr>
        <w:t>Aceleración de tendencias, urgencia renovada. Panorama laboral 2022</w:t>
      </w:r>
      <w:r w:rsidRPr="009B1EB4">
        <w:rPr>
          <w:rFonts w:cs="Arial"/>
          <w:b w:val="0"/>
          <w:sz w:val="22"/>
          <w:szCs w:val="22"/>
        </w:rPr>
        <w:t>. Recuperado de https://www.manpowergroup.es/notas-de-prensa/los-profesionales-en-2022-exigen-mas-flexibilidad-mejores-condiciones-desarrollo-y-compromiso-social</w:t>
      </w:r>
    </w:p>
    <w:p w14:paraId="18D5DACA" w14:textId="77777777" w:rsidR="00F87CD8" w:rsidRPr="009B1EB4" w:rsidRDefault="00F87CD8" w:rsidP="009B1EB4">
      <w:pPr>
        <w:pStyle w:val="Textoindependiente"/>
        <w:spacing w:line="360" w:lineRule="auto"/>
        <w:ind w:left="567" w:hanging="567"/>
        <w:jc w:val="both"/>
        <w:rPr>
          <w:rFonts w:cs="Arial"/>
          <w:b w:val="0"/>
          <w:sz w:val="22"/>
          <w:szCs w:val="22"/>
        </w:rPr>
      </w:pPr>
      <w:r w:rsidRPr="009B1EB4">
        <w:rPr>
          <w:rFonts w:cs="Arial"/>
          <w:b w:val="0"/>
          <w:sz w:val="22"/>
          <w:szCs w:val="22"/>
        </w:rPr>
        <w:t xml:space="preserve">Muñoz, C. (2006). Determinantes de la empleabilidad de los jóvenes universitarios y alternativas para promoverla. </w:t>
      </w:r>
      <w:r w:rsidRPr="009B1EB4">
        <w:rPr>
          <w:rFonts w:cs="Arial"/>
          <w:b w:val="0"/>
          <w:i/>
          <w:sz w:val="22"/>
          <w:szCs w:val="22"/>
        </w:rPr>
        <w:t>Papeles de Población</w:t>
      </w:r>
      <w:r w:rsidRPr="009B1EB4">
        <w:rPr>
          <w:rFonts w:cs="Arial"/>
          <w:b w:val="0"/>
          <w:sz w:val="22"/>
          <w:szCs w:val="22"/>
        </w:rPr>
        <w:t xml:space="preserve">, 12(49), pp. 75-89. https://rppoblacion.uaemex.mx/article/view/8661 </w:t>
      </w:r>
    </w:p>
    <w:p w14:paraId="5974D511" w14:textId="394E1E78" w:rsidR="00972A64" w:rsidRPr="009B1EB4" w:rsidRDefault="008B1D78" w:rsidP="009B1EB4">
      <w:pPr>
        <w:pStyle w:val="Textoindependiente"/>
        <w:spacing w:line="360" w:lineRule="auto"/>
        <w:ind w:left="567" w:hanging="567"/>
        <w:jc w:val="both"/>
        <w:rPr>
          <w:rFonts w:cs="Arial"/>
          <w:b w:val="0"/>
          <w:sz w:val="22"/>
          <w:szCs w:val="22"/>
        </w:rPr>
      </w:pPr>
      <w:r w:rsidRPr="009B1EB4">
        <w:rPr>
          <w:rFonts w:cs="Arial"/>
          <w:b w:val="0"/>
          <w:sz w:val="22"/>
          <w:szCs w:val="22"/>
        </w:rPr>
        <w:t xml:space="preserve">Organización Internacional del Trabajo (OIT, 2004). </w:t>
      </w:r>
      <w:r w:rsidRPr="009B1EB4">
        <w:rPr>
          <w:rFonts w:cs="Arial"/>
          <w:b w:val="0"/>
          <w:i/>
          <w:sz w:val="22"/>
          <w:szCs w:val="22"/>
        </w:rPr>
        <w:t>Recomendación 195 sobre el Desarrollo de los Recursos Humanos</w:t>
      </w:r>
      <w:r w:rsidRPr="009B1EB4">
        <w:rPr>
          <w:rFonts w:cs="Arial"/>
          <w:b w:val="0"/>
          <w:sz w:val="22"/>
          <w:szCs w:val="22"/>
        </w:rPr>
        <w:t>. Ginebra:</w:t>
      </w:r>
      <w:r w:rsidR="003E4A83" w:rsidRPr="009B1EB4">
        <w:rPr>
          <w:rFonts w:cs="Arial"/>
          <w:b w:val="0"/>
          <w:sz w:val="22"/>
          <w:szCs w:val="22"/>
        </w:rPr>
        <w:t xml:space="preserve"> </w:t>
      </w:r>
      <w:r w:rsidRPr="009B1EB4">
        <w:rPr>
          <w:rFonts w:cs="Arial"/>
          <w:b w:val="0"/>
          <w:sz w:val="22"/>
          <w:szCs w:val="22"/>
        </w:rPr>
        <w:t>OIT.</w:t>
      </w:r>
    </w:p>
    <w:p w14:paraId="70253A04" w14:textId="6CD04189" w:rsidR="00A30892" w:rsidRPr="009B1EB4" w:rsidRDefault="00A30892" w:rsidP="009B1EB4">
      <w:pPr>
        <w:pStyle w:val="Textoindependiente"/>
        <w:spacing w:line="360" w:lineRule="auto"/>
        <w:ind w:left="567" w:hanging="567"/>
        <w:jc w:val="both"/>
        <w:rPr>
          <w:rFonts w:cs="Arial"/>
          <w:b w:val="0"/>
          <w:sz w:val="22"/>
          <w:szCs w:val="22"/>
        </w:rPr>
      </w:pPr>
      <w:r w:rsidRPr="009B1EB4">
        <w:rPr>
          <w:rFonts w:cs="Arial"/>
          <w:b w:val="0"/>
          <w:sz w:val="22"/>
          <w:szCs w:val="22"/>
        </w:rPr>
        <w:t xml:space="preserve">Organización Internacional del Trabajo (OIT, 2018). </w:t>
      </w:r>
      <w:r w:rsidRPr="009B1EB4">
        <w:rPr>
          <w:rFonts w:cs="Arial"/>
          <w:b w:val="0"/>
          <w:i/>
          <w:iCs/>
          <w:sz w:val="22"/>
          <w:szCs w:val="22"/>
        </w:rPr>
        <w:t>La brecha de género en el empleo: ¿qué frena el avance de la mujer?</w:t>
      </w:r>
      <w:r w:rsidRPr="009B1EB4">
        <w:rPr>
          <w:rFonts w:cs="Arial"/>
          <w:b w:val="0"/>
          <w:sz w:val="22"/>
          <w:szCs w:val="22"/>
        </w:rPr>
        <w:t xml:space="preserve"> Recuperado de https://www.ilo.org/infostories/es-ES/Stories/Employment/barriers-women#women-preference/preferences-constraints</w:t>
      </w:r>
    </w:p>
    <w:p w14:paraId="77B2D97D" w14:textId="5F2F930A" w:rsidR="003E4A83" w:rsidRPr="009B1EB4" w:rsidRDefault="003E4A83" w:rsidP="009B1EB4">
      <w:pPr>
        <w:pStyle w:val="Textoindependiente"/>
        <w:spacing w:line="360" w:lineRule="auto"/>
        <w:ind w:left="567" w:hanging="567"/>
        <w:jc w:val="both"/>
        <w:rPr>
          <w:rFonts w:cs="Arial"/>
          <w:b w:val="0"/>
          <w:sz w:val="22"/>
          <w:szCs w:val="22"/>
        </w:rPr>
      </w:pPr>
      <w:r w:rsidRPr="009B1EB4">
        <w:rPr>
          <w:rFonts w:cs="Arial"/>
          <w:b w:val="0"/>
          <w:sz w:val="22"/>
          <w:szCs w:val="22"/>
        </w:rPr>
        <w:t xml:space="preserve">Organización Internacional del Trabajo (OIT, 2023). </w:t>
      </w:r>
      <w:r w:rsidRPr="009B1EB4">
        <w:rPr>
          <w:rFonts w:cs="Arial"/>
          <w:b w:val="0"/>
          <w:i/>
          <w:sz w:val="22"/>
          <w:szCs w:val="22"/>
        </w:rPr>
        <w:t>Perspectivas Sociales y del Empleo en el Mundo: Tendencias 2023</w:t>
      </w:r>
      <w:r w:rsidRPr="009B1EB4">
        <w:rPr>
          <w:rFonts w:cs="Arial"/>
          <w:b w:val="0"/>
          <w:sz w:val="22"/>
          <w:szCs w:val="22"/>
        </w:rPr>
        <w:t>. Recuperado de  https://www.ilo.org/wcmsp5/groups/public/---dgreports/---dcomm/---publ/documents/publication/wcms_865368.pdf</w:t>
      </w:r>
    </w:p>
    <w:p w14:paraId="64D2904E" w14:textId="1AB96851" w:rsidR="00F87CD8" w:rsidRPr="009B1EB4" w:rsidRDefault="00F87CD8" w:rsidP="009B1EB4">
      <w:pPr>
        <w:pStyle w:val="Textoindependiente"/>
        <w:spacing w:line="360" w:lineRule="auto"/>
        <w:ind w:left="567" w:hanging="567"/>
        <w:jc w:val="both"/>
        <w:rPr>
          <w:rFonts w:cs="Arial"/>
          <w:b w:val="0"/>
          <w:sz w:val="22"/>
          <w:szCs w:val="22"/>
        </w:rPr>
      </w:pPr>
      <w:r w:rsidRPr="009B1EB4">
        <w:rPr>
          <w:rFonts w:cs="Arial"/>
          <w:b w:val="0"/>
          <w:sz w:val="22"/>
          <w:szCs w:val="22"/>
        </w:rPr>
        <w:t xml:space="preserve">Organización para la Cooperación y el Desarrollo Económicos. </w:t>
      </w:r>
      <w:r w:rsidRPr="009B1EB4">
        <w:rPr>
          <w:rFonts w:cs="Arial"/>
          <w:b w:val="0"/>
          <w:sz w:val="22"/>
          <w:szCs w:val="22"/>
          <w:lang w:val="en-US"/>
        </w:rPr>
        <w:t xml:space="preserve">(OCDE, 2021). </w:t>
      </w:r>
      <w:r w:rsidRPr="009B1EB4">
        <w:rPr>
          <w:rFonts w:cs="Arial"/>
          <w:b w:val="0"/>
          <w:sz w:val="22"/>
          <w:szCs w:val="22"/>
          <w:lang w:val="en-US"/>
        </w:rPr>
        <w:tab/>
      </w:r>
      <w:r w:rsidRPr="009B1EB4">
        <w:rPr>
          <w:rFonts w:cs="Arial"/>
          <w:b w:val="0"/>
          <w:i/>
          <w:sz w:val="22"/>
          <w:szCs w:val="22"/>
          <w:lang w:val="en-US"/>
        </w:rPr>
        <w:t>OECD Skills Outlook 2021: Learning for Life.</w:t>
      </w:r>
      <w:r w:rsidRPr="009B1EB4">
        <w:rPr>
          <w:rFonts w:cs="Arial"/>
          <w:b w:val="0"/>
          <w:sz w:val="22"/>
          <w:szCs w:val="22"/>
          <w:lang w:val="en-US"/>
        </w:rPr>
        <w:t xml:space="preserve"> </w:t>
      </w:r>
      <w:r w:rsidRPr="009B1EB4">
        <w:rPr>
          <w:rFonts w:cs="Arial"/>
          <w:b w:val="0"/>
          <w:sz w:val="22"/>
          <w:szCs w:val="22"/>
        </w:rPr>
        <w:t xml:space="preserve">Recuperado de  https://www.oecd-ilibrary.org/education/oecd-skills-outlook-2021_0ae365b4-en </w:t>
      </w:r>
    </w:p>
    <w:p w14:paraId="6EAE533D" w14:textId="77777777" w:rsidR="00F87CD8" w:rsidRPr="009B1EB4" w:rsidRDefault="00F87CD8" w:rsidP="009B1EB4">
      <w:pPr>
        <w:pStyle w:val="Textoindependiente"/>
        <w:spacing w:line="360" w:lineRule="auto"/>
        <w:ind w:left="567" w:hanging="567"/>
        <w:jc w:val="both"/>
        <w:rPr>
          <w:rFonts w:cs="Arial"/>
          <w:b w:val="0"/>
          <w:sz w:val="22"/>
          <w:szCs w:val="22"/>
        </w:rPr>
      </w:pPr>
      <w:r w:rsidRPr="009B1EB4">
        <w:rPr>
          <w:rFonts w:cs="Arial"/>
          <w:b w:val="0"/>
          <w:sz w:val="22"/>
          <w:szCs w:val="22"/>
        </w:rPr>
        <w:lastRenderedPageBreak/>
        <w:t xml:space="preserve">Oviedo, H. y Campo-Arias, A. (2005). Aproximación al uso del coeficiente alfa de Cronbach. </w:t>
      </w:r>
      <w:r w:rsidRPr="009B1EB4">
        <w:rPr>
          <w:rFonts w:cs="Arial"/>
          <w:b w:val="0"/>
          <w:i/>
          <w:sz w:val="22"/>
          <w:szCs w:val="22"/>
        </w:rPr>
        <w:t>Revista colombiana de psiquiatría, 34</w:t>
      </w:r>
      <w:r w:rsidRPr="009B1EB4">
        <w:rPr>
          <w:rFonts w:cs="Arial"/>
          <w:b w:val="0"/>
          <w:sz w:val="22"/>
          <w:szCs w:val="22"/>
        </w:rPr>
        <w:t xml:space="preserve"> (4), 572–580.</w:t>
      </w:r>
    </w:p>
    <w:p w14:paraId="3FE9CF4B" w14:textId="2240B3F7" w:rsidR="00635EDF" w:rsidRPr="009B1EB4" w:rsidRDefault="00635EDF" w:rsidP="009B1EB4">
      <w:pPr>
        <w:pStyle w:val="Textoindependiente"/>
        <w:spacing w:line="360" w:lineRule="auto"/>
        <w:ind w:left="567" w:hanging="567"/>
        <w:jc w:val="both"/>
        <w:rPr>
          <w:rFonts w:cs="Arial"/>
          <w:b w:val="0"/>
          <w:sz w:val="22"/>
          <w:szCs w:val="22"/>
        </w:rPr>
      </w:pPr>
      <w:r w:rsidRPr="009B1EB4">
        <w:rPr>
          <w:rFonts w:cs="Arial"/>
          <w:b w:val="0"/>
          <w:sz w:val="22"/>
          <w:szCs w:val="22"/>
        </w:rPr>
        <w:t>Ramírez, J., Cuarenta, S., Santos, O. Mares, J. y Mendoza, L. (2021) Desarrollo y capacidad de una cultura de aprendizaje para el trabajo colaborativo</w:t>
      </w:r>
      <w:r w:rsidR="00E85786" w:rsidRPr="009B1EB4">
        <w:rPr>
          <w:rFonts w:cs="Arial"/>
          <w:b w:val="0"/>
          <w:sz w:val="22"/>
          <w:szCs w:val="22"/>
        </w:rPr>
        <w:t xml:space="preserve">. </w:t>
      </w:r>
      <w:r w:rsidR="00E85786" w:rsidRPr="009B1EB4">
        <w:rPr>
          <w:rFonts w:cs="Arial"/>
          <w:b w:val="0"/>
          <w:i/>
          <w:sz w:val="22"/>
          <w:szCs w:val="22"/>
        </w:rPr>
        <w:t>Revista Iberoamericana de Ciencias, 8</w:t>
      </w:r>
      <w:r w:rsidR="00E85786" w:rsidRPr="009B1EB4">
        <w:rPr>
          <w:rFonts w:cs="Arial"/>
          <w:b w:val="0"/>
          <w:sz w:val="22"/>
          <w:szCs w:val="22"/>
        </w:rPr>
        <w:t xml:space="preserve"> (3), 101-109 Recuperado de http://reibci.org/publicados/2021/dic/4400555.pdf</w:t>
      </w:r>
    </w:p>
    <w:p w14:paraId="41A12959" w14:textId="77777777" w:rsidR="00F40296" w:rsidRPr="009B1EB4" w:rsidRDefault="00F40296" w:rsidP="009B1EB4">
      <w:pPr>
        <w:pStyle w:val="Textoindependiente"/>
        <w:spacing w:line="360" w:lineRule="auto"/>
        <w:ind w:left="567" w:hanging="567"/>
        <w:jc w:val="both"/>
        <w:rPr>
          <w:rFonts w:cs="Arial"/>
          <w:b w:val="0"/>
          <w:sz w:val="22"/>
          <w:szCs w:val="22"/>
          <w:lang w:val="en-US"/>
        </w:rPr>
      </w:pPr>
      <w:r w:rsidRPr="009B1EB4">
        <w:rPr>
          <w:rFonts w:cs="Arial"/>
          <w:b w:val="0"/>
          <w:sz w:val="22"/>
          <w:szCs w:val="22"/>
          <w:lang w:val="en-US"/>
        </w:rPr>
        <w:t xml:space="preserve">R Core Team (2021). R: A Language and environment for statistical computing. (Version 4.0) [Computer software]. Recuperado de https://cran.r-project.org. (R packages retrieved from MRAN snapshot 2021-04-01). </w:t>
      </w:r>
    </w:p>
    <w:p w14:paraId="3D7BC110" w14:textId="77777777" w:rsidR="00F40296" w:rsidRPr="009B1EB4" w:rsidRDefault="00F40296" w:rsidP="009B1EB4">
      <w:pPr>
        <w:pStyle w:val="Textoindependiente"/>
        <w:spacing w:line="360" w:lineRule="auto"/>
        <w:ind w:left="567" w:hanging="567"/>
        <w:jc w:val="both"/>
        <w:rPr>
          <w:rFonts w:cs="Arial"/>
          <w:b w:val="0"/>
          <w:sz w:val="22"/>
          <w:szCs w:val="22"/>
        </w:rPr>
      </w:pPr>
      <w:r w:rsidRPr="009B1EB4">
        <w:rPr>
          <w:rFonts w:cs="Arial"/>
          <w:b w:val="0"/>
          <w:sz w:val="22"/>
          <w:szCs w:val="22"/>
          <w:lang w:val="en-US"/>
        </w:rPr>
        <w:t xml:space="preserve">Revelle, W. (2019). psych: Procedures for Psychological, Psychometric, and Personality Research. </w:t>
      </w:r>
      <w:r w:rsidRPr="009B1EB4">
        <w:rPr>
          <w:rFonts w:cs="Arial"/>
          <w:b w:val="0"/>
          <w:sz w:val="22"/>
          <w:szCs w:val="22"/>
        </w:rPr>
        <w:t>[R package]. Recuperado de https://cran.r-project.org/package=psych.</w:t>
      </w:r>
    </w:p>
    <w:p w14:paraId="5E216B46" w14:textId="07C253E8" w:rsidR="00F87CD8" w:rsidRPr="009B1EB4" w:rsidRDefault="00F87CD8" w:rsidP="009B1EB4">
      <w:pPr>
        <w:pStyle w:val="Textoindependiente"/>
        <w:spacing w:line="360" w:lineRule="auto"/>
        <w:ind w:left="567" w:hanging="567"/>
        <w:jc w:val="both"/>
        <w:rPr>
          <w:rFonts w:cs="Arial"/>
          <w:b w:val="0"/>
          <w:sz w:val="22"/>
          <w:szCs w:val="22"/>
        </w:rPr>
      </w:pPr>
      <w:r w:rsidRPr="009B1EB4">
        <w:rPr>
          <w:rFonts w:cs="Arial"/>
          <w:b w:val="0"/>
          <w:sz w:val="22"/>
          <w:szCs w:val="22"/>
          <w:lang w:val="en-US"/>
        </w:rPr>
        <w:t xml:space="preserve">Robbins, Stephen p. y Judge, Timothy A. (2013). </w:t>
      </w:r>
      <w:r w:rsidRPr="009B1EB4">
        <w:rPr>
          <w:rFonts w:cs="Arial"/>
          <w:b w:val="0"/>
          <w:i/>
          <w:sz w:val="22"/>
          <w:szCs w:val="22"/>
        </w:rPr>
        <w:t>Comportamiento organizacional</w:t>
      </w:r>
      <w:r w:rsidRPr="009B1EB4">
        <w:rPr>
          <w:rFonts w:cs="Arial"/>
          <w:b w:val="0"/>
          <w:sz w:val="22"/>
          <w:szCs w:val="22"/>
        </w:rPr>
        <w:t>. Decimoquinta edición Pearson, México, 2013 ISBN: 978-607-32-1980-8</w:t>
      </w:r>
    </w:p>
    <w:p w14:paraId="563B7E42" w14:textId="77777777" w:rsidR="00F87CD8" w:rsidRPr="009B1EB4" w:rsidRDefault="00F87CD8" w:rsidP="009B1EB4">
      <w:pPr>
        <w:pStyle w:val="Textoindependiente"/>
        <w:spacing w:line="360" w:lineRule="auto"/>
        <w:ind w:left="567" w:hanging="567"/>
        <w:jc w:val="both"/>
        <w:rPr>
          <w:rFonts w:cs="Arial"/>
          <w:b w:val="0"/>
          <w:sz w:val="22"/>
          <w:szCs w:val="22"/>
        </w:rPr>
      </w:pPr>
      <w:r w:rsidRPr="009B1EB4">
        <w:rPr>
          <w:rFonts w:cs="Arial"/>
          <w:b w:val="0"/>
          <w:sz w:val="22"/>
          <w:szCs w:val="22"/>
        </w:rPr>
        <w:t xml:space="preserve">Rodríguez-Rodríguez, J., y Reguant-Álvarez, M. (2020). Calcular la fiabilidad de un cuestionario o escala mediante el SPSS: el coeficiente alfa de Cronbach. </w:t>
      </w:r>
      <w:r w:rsidRPr="009B1EB4">
        <w:rPr>
          <w:rFonts w:cs="Arial"/>
          <w:b w:val="0"/>
          <w:i/>
          <w:sz w:val="22"/>
          <w:szCs w:val="22"/>
        </w:rPr>
        <w:t>REIRE Revista d’Innovació i Recerca en Educació, 13</w:t>
      </w:r>
      <w:r w:rsidRPr="009B1EB4">
        <w:rPr>
          <w:rFonts w:cs="Arial"/>
          <w:b w:val="0"/>
          <w:sz w:val="22"/>
          <w:szCs w:val="22"/>
        </w:rPr>
        <w:t xml:space="preserve">(2), 1–13. Recuperado de https://revistes.ub.edu/index.php/REIRE/article/view/reire2020.13.230048 </w:t>
      </w:r>
    </w:p>
    <w:p w14:paraId="703E568E" w14:textId="77777777" w:rsidR="0069627F" w:rsidRPr="009B1EB4" w:rsidRDefault="0069627F" w:rsidP="009B1EB4">
      <w:pPr>
        <w:pStyle w:val="Textoindependiente"/>
        <w:spacing w:line="360" w:lineRule="auto"/>
        <w:ind w:left="567" w:hanging="567"/>
        <w:jc w:val="both"/>
        <w:rPr>
          <w:rFonts w:cs="Arial"/>
          <w:b w:val="0"/>
          <w:sz w:val="22"/>
          <w:szCs w:val="22"/>
        </w:rPr>
      </w:pPr>
      <w:r w:rsidRPr="009B1EB4">
        <w:rPr>
          <w:rFonts w:cs="Arial"/>
          <w:b w:val="0"/>
          <w:sz w:val="22"/>
          <w:szCs w:val="22"/>
        </w:rPr>
        <w:t xml:space="preserve">Senge, P. (1990). </w:t>
      </w:r>
      <w:r w:rsidRPr="009B1EB4">
        <w:rPr>
          <w:rFonts w:cs="Arial"/>
          <w:b w:val="0"/>
          <w:i/>
          <w:sz w:val="22"/>
          <w:szCs w:val="22"/>
        </w:rPr>
        <w:t>Organizaciones que aprenden</w:t>
      </w:r>
      <w:r w:rsidRPr="009B1EB4">
        <w:rPr>
          <w:rFonts w:cs="Arial"/>
          <w:b w:val="0"/>
          <w:sz w:val="22"/>
          <w:szCs w:val="22"/>
        </w:rPr>
        <w:t>. Barcelona: Gránica</w:t>
      </w:r>
    </w:p>
    <w:p w14:paraId="1E30643F" w14:textId="457E5763" w:rsidR="009325CA" w:rsidRPr="009B1EB4" w:rsidRDefault="009325CA" w:rsidP="009B1EB4">
      <w:pPr>
        <w:pStyle w:val="Textoindependiente"/>
        <w:spacing w:line="360" w:lineRule="auto"/>
        <w:ind w:left="567" w:hanging="567"/>
        <w:jc w:val="both"/>
        <w:rPr>
          <w:rFonts w:cs="Arial"/>
          <w:b w:val="0"/>
          <w:sz w:val="22"/>
          <w:szCs w:val="22"/>
          <w:lang w:val="en-US"/>
        </w:rPr>
      </w:pPr>
      <w:r w:rsidRPr="009B1EB4">
        <w:rPr>
          <w:rFonts w:cs="Arial"/>
          <w:b w:val="0"/>
          <w:sz w:val="22"/>
          <w:szCs w:val="22"/>
        </w:rPr>
        <w:t xml:space="preserve">Senge, P., Cambron-McCabe, N., Lucas, T. (2012). </w:t>
      </w:r>
      <w:r w:rsidRPr="009B1EB4">
        <w:rPr>
          <w:rFonts w:cs="Arial"/>
          <w:b w:val="0"/>
          <w:i/>
          <w:iCs/>
          <w:sz w:val="22"/>
          <w:szCs w:val="22"/>
          <w:lang w:val="en-US"/>
        </w:rPr>
        <w:t>Schools that learn: Updated and revised.</w:t>
      </w:r>
      <w:r w:rsidRPr="009B1EB4">
        <w:rPr>
          <w:rFonts w:cs="Arial"/>
          <w:b w:val="0"/>
          <w:sz w:val="22"/>
          <w:szCs w:val="22"/>
          <w:lang w:val="en-US"/>
        </w:rPr>
        <w:t xml:space="preserve"> Nueva York: Crown Business.</w:t>
      </w:r>
    </w:p>
    <w:p w14:paraId="77524269" w14:textId="64800443" w:rsidR="00F87CD8" w:rsidRPr="009B1EB4" w:rsidRDefault="00F87CD8" w:rsidP="009B1EB4">
      <w:pPr>
        <w:pStyle w:val="Textoindependiente"/>
        <w:spacing w:line="360" w:lineRule="auto"/>
        <w:ind w:left="567" w:hanging="567"/>
        <w:jc w:val="both"/>
        <w:rPr>
          <w:rFonts w:cs="Arial"/>
          <w:b w:val="0"/>
          <w:sz w:val="22"/>
          <w:szCs w:val="22"/>
        </w:rPr>
      </w:pPr>
      <w:r w:rsidRPr="009B1EB4">
        <w:rPr>
          <w:rFonts w:cs="Arial"/>
          <w:b w:val="0"/>
          <w:sz w:val="22"/>
          <w:szCs w:val="22"/>
          <w:lang w:val="en-US"/>
        </w:rPr>
        <w:t xml:space="preserve">The jamovi project (2021). </w:t>
      </w:r>
      <w:r w:rsidRPr="00A5039F">
        <w:rPr>
          <w:rFonts w:cs="Arial"/>
          <w:b w:val="0"/>
          <w:sz w:val="22"/>
          <w:szCs w:val="22"/>
          <w:lang w:val="en-US"/>
        </w:rPr>
        <w:t xml:space="preserve">Jamovi. (Version 2.2) [Computer Software]. </w:t>
      </w:r>
      <w:r w:rsidRPr="009B1EB4">
        <w:rPr>
          <w:rFonts w:cs="Arial"/>
          <w:b w:val="0"/>
          <w:sz w:val="22"/>
          <w:szCs w:val="22"/>
        </w:rPr>
        <w:t>Recuperado de https://www.jamovi.org.</w:t>
      </w:r>
    </w:p>
    <w:p w14:paraId="1FFD5555" w14:textId="2744D80F" w:rsidR="00F87CD8" w:rsidRPr="009B1EB4" w:rsidRDefault="005F67AF" w:rsidP="009B1EB4">
      <w:pPr>
        <w:pStyle w:val="Textoindependiente"/>
        <w:spacing w:line="360" w:lineRule="auto"/>
        <w:ind w:left="567" w:hanging="567"/>
        <w:jc w:val="both"/>
        <w:rPr>
          <w:rFonts w:cs="Arial"/>
          <w:b w:val="0"/>
          <w:sz w:val="22"/>
          <w:szCs w:val="22"/>
        </w:rPr>
      </w:pPr>
      <w:r w:rsidRPr="009B1EB4">
        <w:rPr>
          <w:rFonts w:cs="Arial"/>
          <w:b w:val="0"/>
          <w:sz w:val="22"/>
          <w:szCs w:val="22"/>
        </w:rPr>
        <w:t>UNESCO (2020</w:t>
      </w:r>
      <w:r w:rsidR="00F87CD8" w:rsidRPr="009B1EB4">
        <w:rPr>
          <w:rFonts w:cs="Arial"/>
          <w:b w:val="0"/>
          <w:sz w:val="22"/>
          <w:szCs w:val="22"/>
        </w:rPr>
        <w:t xml:space="preserve">). </w:t>
      </w:r>
      <w:r w:rsidR="00F87CD8" w:rsidRPr="009B1EB4">
        <w:rPr>
          <w:rFonts w:cs="Arial"/>
          <w:b w:val="0"/>
          <w:i/>
          <w:sz w:val="22"/>
          <w:szCs w:val="22"/>
        </w:rPr>
        <w:t>El enfoque de Aprendizaje a lo Largo de Toda la Vida. Implicaciones para la política educativa en América Latina y el Caribe</w:t>
      </w:r>
      <w:r w:rsidR="00E85786" w:rsidRPr="009B1EB4">
        <w:rPr>
          <w:rFonts w:cs="Arial"/>
          <w:b w:val="0"/>
          <w:i/>
          <w:sz w:val="22"/>
          <w:szCs w:val="22"/>
        </w:rPr>
        <w:t>.</w:t>
      </w:r>
      <w:r w:rsidR="00F87CD8" w:rsidRPr="009B1EB4">
        <w:rPr>
          <w:rFonts w:cs="Arial"/>
          <w:b w:val="0"/>
          <w:sz w:val="22"/>
          <w:szCs w:val="22"/>
        </w:rPr>
        <w:t xml:space="preserve"> Recuperado de https://unesdoc.unesco.org/ark:/48223/pf0000373632_spa </w:t>
      </w:r>
    </w:p>
    <w:p w14:paraId="54BF58FF" w14:textId="77777777" w:rsidR="00F87CD8" w:rsidRPr="009B1EB4" w:rsidRDefault="00F87CD8" w:rsidP="009B1EB4">
      <w:pPr>
        <w:pStyle w:val="Textoindependiente"/>
        <w:spacing w:line="360" w:lineRule="auto"/>
        <w:ind w:left="567" w:hanging="567"/>
        <w:jc w:val="both"/>
        <w:rPr>
          <w:rFonts w:cs="Arial"/>
          <w:b w:val="0"/>
          <w:sz w:val="22"/>
          <w:szCs w:val="22"/>
        </w:rPr>
      </w:pPr>
      <w:r w:rsidRPr="009B1EB4">
        <w:rPr>
          <w:rFonts w:cs="Arial"/>
          <w:b w:val="0"/>
          <w:sz w:val="22"/>
          <w:szCs w:val="22"/>
        </w:rPr>
        <w:t xml:space="preserve">UNESCO (2022). </w:t>
      </w:r>
      <w:r w:rsidRPr="009B1EB4">
        <w:rPr>
          <w:rFonts w:cs="Arial"/>
          <w:b w:val="0"/>
          <w:i/>
          <w:sz w:val="22"/>
          <w:szCs w:val="22"/>
        </w:rPr>
        <w:t>La educación superior que queremos: Las voces de la juventud sobre los futuros de la educación superior</w:t>
      </w:r>
      <w:r w:rsidRPr="009B1EB4">
        <w:rPr>
          <w:rFonts w:cs="Arial"/>
          <w:b w:val="0"/>
          <w:sz w:val="22"/>
          <w:szCs w:val="22"/>
        </w:rPr>
        <w:t xml:space="preserve">. https://www.iesalc.unesco.org/wp-content/uploads/2022/09/La-educacio%CC%81n-superior-que-queremos_SPA_FINAL.pdf </w:t>
      </w:r>
    </w:p>
    <w:p w14:paraId="4BC6148A" w14:textId="683E5AE0" w:rsidR="00F87CD8" w:rsidRPr="009B1EB4" w:rsidRDefault="00F87CD8" w:rsidP="009B1EB4">
      <w:pPr>
        <w:pStyle w:val="Textoindependiente"/>
        <w:spacing w:line="360" w:lineRule="auto"/>
        <w:ind w:left="567" w:hanging="567"/>
        <w:jc w:val="both"/>
        <w:rPr>
          <w:rStyle w:val="Hipervnculo"/>
          <w:rFonts w:cs="Arial"/>
          <w:b w:val="0"/>
          <w:sz w:val="22"/>
          <w:szCs w:val="22"/>
        </w:rPr>
      </w:pPr>
      <w:r w:rsidRPr="009B1EB4">
        <w:rPr>
          <w:rFonts w:cs="Arial"/>
          <w:b w:val="0"/>
          <w:sz w:val="22"/>
          <w:szCs w:val="22"/>
        </w:rPr>
        <w:t xml:space="preserve">Universitat Oberta de Catalunya, (2019). </w:t>
      </w:r>
      <w:r w:rsidRPr="009B1EB4">
        <w:rPr>
          <w:rFonts w:cs="Arial"/>
          <w:b w:val="0"/>
          <w:i/>
          <w:sz w:val="22"/>
          <w:szCs w:val="22"/>
        </w:rPr>
        <w:t>Espacio de recursos de ciencia de datos</w:t>
      </w:r>
      <w:r w:rsidRPr="009B1EB4">
        <w:rPr>
          <w:rFonts w:cs="Arial"/>
          <w:b w:val="0"/>
          <w:sz w:val="22"/>
          <w:szCs w:val="22"/>
        </w:rPr>
        <w:t xml:space="preserve">. Recuperado el 13 de mayo de 2023. </w:t>
      </w:r>
      <w:hyperlink r:id="rId14" w:history="1">
        <w:r w:rsidR="00F62C7B" w:rsidRPr="009B1EB4">
          <w:rPr>
            <w:rStyle w:val="Hipervnculo"/>
            <w:rFonts w:cs="Arial"/>
            <w:b w:val="0"/>
            <w:sz w:val="22"/>
            <w:szCs w:val="22"/>
          </w:rPr>
          <w:t>http://datascience.recursos.uoc.edu/es/jamovi/</w:t>
        </w:r>
      </w:hyperlink>
    </w:p>
    <w:p w14:paraId="144ECFFA" w14:textId="627A0F24" w:rsidR="009325CA" w:rsidRPr="009B1EB4" w:rsidRDefault="009325CA" w:rsidP="009B1EB4">
      <w:pPr>
        <w:pStyle w:val="Textoindependiente"/>
        <w:spacing w:line="360" w:lineRule="auto"/>
        <w:ind w:left="567" w:hanging="567"/>
        <w:jc w:val="both"/>
        <w:rPr>
          <w:b w:val="0"/>
          <w:bCs w:val="0"/>
          <w:sz w:val="22"/>
          <w:szCs w:val="22"/>
          <w:lang w:val="en-US"/>
        </w:rPr>
      </w:pPr>
      <w:r w:rsidRPr="00A5039F">
        <w:rPr>
          <w:b w:val="0"/>
          <w:bCs w:val="0"/>
          <w:sz w:val="22"/>
          <w:szCs w:val="22"/>
          <w:lang w:val="en-US"/>
        </w:rPr>
        <w:t xml:space="preserve">Wolff, R. y Booth, M. (2017). </w:t>
      </w:r>
      <w:r w:rsidRPr="009B1EB4">
        <w:rPr>
          <w:b w:val="0"/>
          <w:bCs w:val="0"/>
          <w:sz w:val="22"/>
          <w:szCs w:val="22"/>
          <w:lang w:val="en-US"/>
        </w:rPr>
        <w:t xml:space="preserve">Bridging the gap: Creating a new approach for assuring 21st century employability skills. Change: </w:t>
      </w:r>
      <w:r w:rsidRPr="009B1EB4">
        <w:rPr>
          <w:b w:val="0"/>
          <w:bCs w:val="0"/>
          <w:i/>
          <w:iCs/>
          <w:sz w:val="22"/>
          <w:szCs w:val="22"/>
          <w:lang w:val="en-US"/>
        </w:rPr>
        <w:t>The Magazine of Higher Learning, 49</w:t>
      </w:r>
      <w:r w:rsidRPr="009B1EB4">
        <w:rPr>
          <w:b w:val="0"/>
          <w:bCs w:val="0"/>
          <w:sz w:val="22"/>
          <w:szCs w:val="22"/>
          <w:lang w:val="en-US"/>
        </w:rPr>
        <w:t>(6), 51-54. https://dx.doi.org/10.1080/00091383.2017.1399040</w:t>
      </w:r>
      <w:bookmarkStart w:id="1" w:name="_GoBack"/>
      <w:bookmarkEnd w:id="1"/>
    </w:p>
    <w:sectPr w:rsidR="009325CA" w:rsidRPr="009B1EB4" w:rsidSect="00687BEB">
      <w:headerReference w:type="default" r:id="rId15"/>
      <w:footerReference w:type="default" r:id="rId16"/>
      <w:pgSz w:w="12240" w:h="15840" w:code="1"/>
      <w:pgMar w:top="1418" w:right="1418" w:bottom="1418" w:left="2268" w:header="164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49E96" w14:textId="77777777" w:rsidR="007D0820" w:rsidRDefault="007D0820" w:rsidP="008364AB">
      <w:r>
        <w:separator/>
      </w:r>
    </w:p>
  </w:endnote>
  <w:endnote w:type="continuationSeparator" w:id="0">
    <w:p w14:paraId="1AF528D5" w14:textId="77777777" w:rsidR="007D0820" w:rsidRDefault="007D0820"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UI Symbol"/>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DACAC" w14:textId="2831B0C7" w:rsidR="00635EDF" w:rsidRPr="00687BEB" w:rsidRDefault="00635EDF" w:rsidP="00687BEB">
    <w:pPr>
      <w:pStyle w:val="Piedepgina"/>
    </w:pPr>
    <w:r>
      <w:rPr>
        <w:rFonts w:ascii="Century Gothic" w:hAnsi="Century Gothic"/>
        <w:noProof/>
        <w:lang w:val="es-MX" w:eastAsia="es-MX"/>
      </w:rPr>
      <mc:AlternateContent>
        <mc:Choice Requires="wpg">
          <w:drawing>
            <wp:anchor distT="0" distB="0" distL="114300" distR="114300" simplePos="0" relativeHeight="251663360" behindDoc="1" locked="0" layoutInCell="1" allowOverlap="1" wp14:anchorId="15579AF0" wp14:editId="79D53220">
              <wp:simplePos x="0" y="0"/>
              <wp:positionH relativeFrom="column">
                <wp:posOffset>3600450</wp:posOffset>
              </wp:positionH>
              <wp:positionV relativeFrom="paragraph">
                <wp:posOffset>-19050</wp:posOffset>
              </wp:positionV>
              <wp:extent cx="2050415" cy="680085"/>
              <wp:effectExtent l="0" t="0" r="6985" b="5715"/>
              <wp:wrapNone/>
              <wp:docPr id="5" name="Grupo 5"/>
              <wp:cNvGraphicFramePr/>
              <a:graphic xmlns:a="http://schemas.openxmlformats.org/drawingml/2006/main">
                <a:graphicData uri="http://schemas.microsoft.com/office/word/2010/wordprocessingGroup">
                  <wpg:wgp>
                    <wpg:cNvGrpSpPr/>
                    <wpg:grpSpPr>
                      <a:xfrm>
                        <a:off x="0" y="0"/>
                        <a:ext cx="2050415" cy="680085"/>
                        <a:chOff x="0" y="0"/>
                        <a:chExt cx="2050415" cy="680085"/>
                      </a:xfrm>
                    </wpg:grpSpPr>
                    <pic:pic xmlns:pic="http://schemas.openxmlformats.org/drawingml/2006/picture">
                      <pic:nvPicPr>
                        <pic:cNvPr id="65" name="image2.png"/>
                        <pic:cNvPicPr>
                          <a:picLocks noChangeAspect="1"/>
                        </pic:cNvPicPr>
                      </pic:nvPicPr>
                      <pic:blipFill>
                        <a:blip r:embed="rId1" cstate="print"/>
                        <a:stretch>
                          <a:fillRect/>
                        </a:stretch>
                      </pic:blipFill>
                      <pic:spPr>
                        <a:xfrm>
                          <a:off x="0" y="0"/>
                          <a:ext cx="857885" cy="680085"/>
                        </a:xfrm>
                        <a:prstGeom prst="rect">
                          <a:avLst/>
                        </a:prstGeom>
                      </pic:spPr>
                    </pic:pic>
                    <pic:pic xmlns:pic="http://schemas.openxmlformats.org/drawingml/2006/picture">
                      <pic:nvPicPr>
                        <pic:cNvPr id="3" name="image1.png"/>
                        <pic:cNvPicPr>
                          <a:picLocks noChangeAspect="1"/>
                        </pic:cNvPicPr>
                      </pic:nvPicPr>
                      <pic:blipFill>
                        <a:blip r:embed="rId2" cstate="print"/>
                        <a:stretch>
                          <a:fillRect/>
                        </a:stretch>
                      </pic:blipFill>
                      <pic:spPr>
                        <a:xfrm>
                          <a:off x="1074420" y="289560"/>
                          <a:ext cx="975995" cy="336550"/>
                        </a:xfrm>
                        <a:prstGeom prst="rect">
                          <a:avLst/>
                        </a:prstGeom>
                      </pic:spPr>
                    </pic:pic>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B8BEF8" id="Grupo 5" o:spid="_x0000_s1026" style="position:absolute;margin-left:283.5pt;margin-top:-1.5pt;width:161.45pt;height:53.55pt;z-index:-251653120" coordsize="20504,6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width:8578;height:6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">
                <v:imagedata r:id="rId3" o:title=""/>
              </v:shape>
              <v:shape id="image1.png" o:spid="_x0000_s1028" type="#_x0000_t75" style="position:absolute;left:10744;top:2895;width:9760;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">
                <v:imagedata r:id="rId4" o:title=""/>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DA94B" w14:textId="77777777" w:rsidR="007D0820" w:rsidRDefault="007D0820" w:rsidP="008364AB">
      <w:r>
        <w:separator/>
      </w:r>
    </w:p>
  </w:footnote>
  <w:footnote w:type="continuationSeparator" w:id="0">
    <w:p w14:paraId="00415761" w14:textId="77777777" w:rsidR="007D0820" w:rsidRDefault="007D0820" w:rsidP="00836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A09AA" w14:textId="4EFAB281" w:rsidR="00635EDF" w:rsidRPr="00687BEB" w:rsidRDefault="00635EDF" w:rsidP="00687BEB">
    <w:pPr>
      <w:pStyle w:val="Encabezado"/>
    </w:pPr>
    <w:r w:rsidRPr="0033768C">
      <w:rPr>
        <w:noProof/>
        <w:lang w:val="es-MX" w:eastAsia="es-MX"/>
      </w:rPr>
      <w:drawing>
        <wp:anchor distT="0" distB="0" distL="114300" distR="114300" simplePos="0" relativeHeight="251659264" behindDoc="0" locked="0" layoutInCell="1" allowOverlap="1" wp14:anchorId="15FA7893" wp14:editId="57AEBA93">
          <wp:simplePos x="0" y="0"/>
          <wp:positionH relativeFrom="column">
            <wp:posOffset>3931919</wp:posOffset>
          </wp:positionH>
          <wp:positionV relativeFrom="page">
            <wp:posOffset>238124</wp:posOffset>
          </wp:positionV>
          <wp:extent cx="1928649" cy="537999"/>
          <wp:effectExtent l="0" t="0" r="0" b="0"/>
          <wp:wrapThrough wrapText="bothSides">
            <wp:wrapPolygon edited="0">
              <wp:start x="1280" y="0"/>
              <wp:lineTo x="0" y="10711"/>
              <wp:lineTo x="0" y="19891"/>
              <wp:lineTo x="4054" y="20656"/>
              <wp:lineTo x="5761" y="20656"/>
              <wp:lineTo x="21337" y="16066"/>
              <wp:lineTo x="21337" y="2295"/>
              <wp:lineTo x="7468" y="0"/>
              <wp:lineTo x="128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892" cy="552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768C">
      <w:rPr>
        <w:noProof/>
        <w:lang w:val="es-MX" w:eastAsia="es-MX"/>
      </w:rPr>
      <w:drawing>
        <wp:anchor distT="0" distB="0" distL="114300" distR="114300" simplePos="0" relativeHeight="251660288" behindDoc="0" locked="0" layoutInCell="1" allowOverlap="1" wp14:anchorId="539F884A" wp14:editId="65386F31">
          <wp:simplePos x="0" y="0"/>
          <wp:positionH relativeFrom="column">
            <wp:posOffset>1102994</wp:posOffset>
          </wp:positionH>
          <wp:positionV relativeFrom="page">
            <wp:posOffset>238124</wp:posOffset>
          </wp:positionV>
          <wp:extent cx="695325" cy="893387"/>
          <wp:effectExtent l="0" t="0" r="0" b="2540"/>
          <wp:wrapThrough wrapText="bothSides">
            <wp:wrapPolygon edited="0">
              <wp:start x="0" y="0"/>
              <wp:lineTo x="0" y="21201"/>
              <wp:lineTo x="20712" y="21201"/>
              <wp:lineTo x="20712"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196" cy="9124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61312" behindDoc="0" locked="0" layoutInCell="1" allowOverlap="1" wp14:anchorId="66B4936E" wp14:editId="410EAA2E">
          <wp:simplePos x="0" y="0"/>
          <wp:positionH relativeFrom="column">
            <wp:posOffset>-1905</wp:posOffset>
          </wp:positionH>
          <wp:positionV relativeFrom="page">
            <wp:posOffset>228600</wp:posOffset>
          </wp:positionV>
          <wp:extent cx="700241" cy="919720"/>
          <wp:effectExtent l="0" t="0" r="5080" b="0"/>
          <wp:wrapThrough wrapText="bothSides">
            <wp:wrapPolygon edited="0">
              <wp:start x="0" y="0"/>
              <wp:lineTo x="0" y="17901"/>
              <wp:lineTo x="6468" y="21033"/>
              <wp:lineTo x="14701" y="21033"/>
              <wp:lineTo x="21169" y="17901"/>
              <wp:lineTo x="21169" y="0"/>
              <wp:lineTo x="0" y="0"/>
            </wp:wrapPolygon>
          </wp:wrapThrough>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0734" cy="9466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9793C"/>
    <w:multiLevelType w:val="hybridMultilevel"/>
    <w:tmpl w:val="3552076E"/>
    <w:lvl w:ilvl="0" w:tplc="5E1A81AA">
      <w:start w:val="1"/>
      <w:numFmt w:val="bullet"/>
      <w:lvlText w:val="•"/>
      <w:lvlJc w:val="left"/>
      <w:pPr>
        <w:ind w:left="1004" w:hanging="360"/>
      </w:pPr>
      <w:rPr>
        <w:rFonts w:ascii="Times New Roman" w:hAnsi="Times New Roman"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nsid w:val="3CB06436"/>
    <w:multiLevelType w:val="multilevel"/>
    <w:tmpl w:val="38B4C600"/>
    <w:lvl w:ilvl="0">
      <w:start w:val="1"/>
      <w:numFmt w:val="bullet"/>
      <w:lvlText w:val="•"/>
      <w:lvlJc w:val="left"/>
      <w:pPr>
        <w:ind w:left="720" w:hanging="360"/>
      </w:pPr>
      <w:rPr>
        <w:rFonts w:ascii="Times New Roman" w:hAnsi="Times New Roman" w:hint="default"/>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F585164"/>
    <w:multiLevelType w:val="hybridMultilevel"/>
    <w:tmpl w:val="6E90E76C"/>
    <w:lvl w:ilvl="0" w:tplc="5E1A81AA">
      <w:start w:val="1"/>
      <w:numFmt w:val="bullet"/>
      <w:lvlText w:val="•"/>
      <w:lvlJc w:val="left"/>
      <w:pPr>
        <w:tabs>
          <w:tab w:val="num" w:pos="1004"/>
        </w:tabs>
        <w:ind w:left="1004" w:hanging="360"/>
      </w:pPr>
      <w:rPr>
        <w:rFonts w:ascii="Times New Roman" w:hAnsi="Times New Roman"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AB"/>
    <w:rsid w:val="000003C3"/>
    <w:rsid w:val="00003F1B"/>
    <w:rsid w:val="000054E9"/>
    <w:rsid w:val="000123CE"/>
    <w:rsid w:val="00012F9A"/>
    <w:rsid w:val="000164F2"/>
    <w:rsid w:val="00017946"/>
    <w:rsid w:val="000261EC"/>
    <w:rsid w:val="00026C0F"/>
    <w:rsid w:val="00027222"/>
    <w:rsid w:val="00027577"/>
    <w:rsid w:val="00040D3C"/>
    <w:rsid w:val="000451A0"/>
    <w:rsid w:val="00057E54"/>
    <w:rsid w:val="00060520"/>
    <w:rsid w:val="00060CE7"/>
    <w:rsid w:val="00064268"/>
    <w:rsid w:val="000671D8"/>
    <w:rsid w:val="0006757C"/>
    <w:rsid w:val="00071D40"/>
    <w:rsid w:val="00072961"/>
    <w:rsid w:val="00073679"/>
    <w:rsid w:val="0008489B"/>
    <w:rsid w:val="00085AF0"/>
    <w:rsid w:val="0009162F"/>
    <w:rsid w:val="00093BD5"/>
    <w:rsid w:val="00096E3E"/>
    <w:rsid w:val="000A1CF8"/>
    <w:rsid w:val="000A2379"/>
    <w:rsid w:val="000B4C76"/>
    <w:rsid w:val="000C73CB"/>
    <w:rsid w:val="000C7BE0"/>
    <w:rsid w:val="000D02ED"/>
    <w:rsid w:val="000D0DA5"/>
    <w:rsid w:val="000D377E"/>
    <w:rsid w:val="000D3F46"/>
    <w:rsid w:val="000D5A78"/>
    <w:rsid w:val="000D735E"/>
    <w:rsid w:val="000E3BC1"/>
    <w:rsid w:val="000E4166"/>
    <w:rsid w:val="000E4F95"/>
    <w:rsid w:val="000E6382"/>
    <w:rsid w:val="000F2719"/>
    <w:rsid w:val="00100205"/>
    <w:rsid w:val="001052CF"/>
    <w:rsid w:val="00106694"/>
    <w:rsid w:val="00111F74"/>
    <w:rsid w:val="0011292B"/>
    <w:rsid w:val="00115740"/>
    <w:rsid w:val="00115D2D"/>
    <w:rsid w:val="00121FA7"/>
    <w:rsid w:val="0012717A"/>
    <w:rsid w:val="00130B12"/>
    <w:rsid w:val="00141782"/>
    <w:rsid w:val="00142547"/>
    <w:rsid w:val="00143E28"/>
    <w:rsid w:val="00147D29"/>
    <w:rsid w:val="00147DB2"/>
    <w:rsid w:val="00152B8F"/>
    <w:rsid w:val="00153768"/>
    <w:rsid w:val="00154657"/>
    <w:rsid w:val="0015546E"/>
    <w:rsid w:val="00162133"/>
    <w:rsid w:val="001632C9"/>
    <w:rsid w:val="00166B4D"/>
    <w:rsid w:val="00172639"/>
    <w:rsid w:val="00176A6A"/>
    <w:rsid w:val="00176F0A"/>
    <w:rsid w:val="00180E08"/>
    <w:rsid w:val="00184454"/>
    <w:rsid w:val="0019003D"/>
    <w:rsid w:val="001905EB"/>
    <w:rsid w:val="00192E3F"/>
    <w:rsid w:val="001A0F17"/>
    <w:rsid w:val="001A60DA"/>
    <w:rsid w:val="001B010A"/>
    <w:rsid w:val="001B0580"/>
    <w:rsid w:val="001B2B6F"/>
    <w:rsid w:val="001B37AB"/>
    <w:rsid w:val="001B4000"/>
    <w:rsid w:val="001B5393"/>
    <w:rsid w:val="001B5BC9"/>
    <w:rsid w:val="001C00C5"/>
    <w:rsid w:val="001C307B"/>
    <w:rsid w:val="001C405B"/>
    <w:rsid w:val="001C7FFB"/>
    <w:rsid w:val="001D0D89"/>
    <w:rsid w:val="001D25B2"/>
    <w:rsid w:val="001D333C"/>
    <w:rsid w:val="001D3B35"/>
    <w:rsid w:val="001D5934"/>
    <w:rsid w:val="001D6B22"/>
    <w:rsid w:val="001D788D"/>
    <w:rsid w:val="001E0CC0"/>
    <w:rsid w:val="001E3DE6"/>
    <w:rsid w:val="001E69EA"/>
    <w:rsid w:val="001F0BAF"/>
    <w:rsid w:val="001F0CA7"/>
    <w:rsid w:val="001F59B8"/>
    <w:rsid w:val="00202FB2"/>
    <w:rsid w:val="002030FF"/>
    <w:rsid w:val="00203FFA"/>
    <w:rsid w:val="00207E89"/>
    <w:rsid w:val="00214B91"/>
    <w:rsid w:val="00214C47"/>
    <w:rsid w:val="00220853"/>
    <w:rsid w:val="00220DFB"/>
    <w:rsid w:val="002220EA"/>
    <w:rsid w:val="00232CA4"/>
    <w:rsid w:val="002340BE"/>
    <w:rsid w:val="00242C2A"/>
    <w:rsid w:val="00243537"/>
    <w:rsid w:val="00246A56"/>
    <w:rsid w:val="00250918"/>
    <w:rsid w:val="00252D5D"/>
    <w:rsid w:val="00255942"/>
    <w:rsid w:val="00255CC7"/>
    <w:rsid w:val="002570C6"/>
    <w:rsid w:val="002615E4"/>
    <w:rsid w:val="00264F2B"/>
    <w:rsid w:val="00265BFC"/>
    <w:rsid w:val="0027197E"/>
    <w:rsid w:val="00274AC3"/>
    <w:rsid w:val="002778F6"/>
    <w:rsid w:val="0028026B"/>
    <w:rsid w:val="002829ED"/>
    <w:rsid w:val="002833EA"/>
    <w:rsid w:val="002843D2"/>
    <w:rsid w:val="002846CE"/>
    <w:rsid w:val="00286AA9"/>
    <w:rsid w:val="00287F24"/>
    <w:rsid w:val="00290318"/>
    <w:rsid w:val="00290DF4"/>
    <w:rsid w:val="00292C3F"/>
    <w:rsid w:val="002A365E"/>
    <w:rsid w:val="002B5347"/>
    <w:rsid w:val="002B7AD5"/>
    <w:rsid w:val="002C076B"/>
    <w:rsid w:val="002C08F4"/>
    <w:rsid w:val="002C5715"/>
    <w:rsid w:val="002D2771"/>
    <w:rsid w:val="002D7FE2"/>
    <w:rsid w:val="002E0639"/>
    <w:rsid w:val="002E365B"/>
    <w:rsid w:val="002E428A"/>
    <w:rsid w:val="002F2B1C"/>
    <w:rsid w:val="002F2D40"/>
    <w:rsid w:val="002F5FC6"/>
    <w:rsid w:val="00301AF8"/>
    <w:rsid w:val="00304034"/>
    <w:rsid w:val="0031748B"/>
    <w:rsid w:val="00320D92"/>
    <w:rsid w:val="00320E66"/>
    <w:rsid w:val="00321D20"/>
    <w:rsid w:val="003243D3"/>
    <w:rsid w:val="00324D75"/>
    <w:rsid w:val="003402D7"/>
    <w:rsid w:val="00340BC7"/>
    <w:rsid w:val="003424A2"/>
    <w:rsid w:val="00351D23"/>
    <w:rsid w:val="0035407C"/>
    <w:rsid w:val="003540CC"/>
    <w:rsid w:val="00354C71"/>
    <w:rsid w:val="0035671F"/>
    <w:rsid w:val="00360634"/>
    <w:rsid w:val="00360D01"/>
    <w:rsid w:val="00361910"/>
    <w:rsid w:val="003619E6"/>
    <w:rsid w:val="003627D5"/>
    <w:rsid w:val="00372A7C"/>
    <w:rsid w:val="0037556E"/>
    <w:rsid w:val="003760E3"/>
    <w:rsid w:val="00390169"/>
    <w:rsid w:val="0039448D"/>
    <w:rsid w:val="003978FD"/>
    <w:rsid w:val="003A20E8"/>
    <w:rsid w:val="003B39C7"/>
    <w:rsid w:val="003B641A"/>
    <w:rsid w:val="003C0974"/>
    <w:rsid w:val="003C13FA"/>
    <w:rsid w:val="003C1F4E"/>
    <w:rsid w:val="003C2AF4"/>
    <w:rsid w:val="003C3536"/>
    <w:rsid w:val="003C67FE"/>
    <w:rsid w:val="003E0999"/>
    <w:rsid w:val="003E3F50"/>
    <w:rsid w:val="003E4A83"/>
    <w:rsid w:val="003E707C"/>
    <w:rsid w:val="004004B6"/>
    <w:rsid w:val="004011BF"/>
    <w:rsid w:val="0040167C"/>
    <w:rsid w:val="00412541"/>
    <w:rsid w:val="004156D3"/>
    <w:rsid w:val="00415770"/>
    <w:rsid w:val="004166A9"/>
    <w:rsid w:val="00422176"/>
    <w:rsid w:val="0043263B"/>
    <w:rsid w:val="00433AB5"/>
    <w:rsid w:val="00435DF5"/>
    <w:rsid w:val="00437D97"/>
    <w:rsid w:val="004465FF"/>
    <w:rsid w:val="00447930"/>
    <w:rsid w:val="004512E1"/>
    <w:rsid w:val="00453A9C"/>
    <w:rsid w:val="00453B77"/>
    <w:rsid w:val="004621A5"/>
    <w:rsid w:val="00462E21"/>
    <w:rsid w:val="00464DC2"/>
    <w:rsid w:val="004734B8"/>
    <w:rsid w:val="00480F84"/>
    <w:rsid w:val="0048127B"/>
    <w:rsid w:val="00483ADE"/>
    <w:rsid w:val="004840A7"/>
    <w:rsid w:val="004845D0"/>
    <w:rsid w:val="00484E4B"/>
    <w:rsid w:val="00486BAA"/>
    <w:rsid w:val="00487D60"/>
    <w:rsid w:val="0049147F"/>
    <w:rsid w:val="0049206C"/>
    <w:rsid w:val="0049500C"/>
    <w:rsid w:val="00496CC0"/>
    <w:rsid w:val="004A1E8A"/>
    <w:rsid w:val="004A46CA"/>
    <w:rsid w:val="004A625A"/>
    <w:rsid w:val="004A6280"/>
    <w:rsid w:val="004A6E01"/>
    <w:rsid w:val="004B20C5"/>
    <w:rsid w:val="004B4DDD"/>
    <w:rsid w:val="004B5C3C"/>
    <w:rsid w:val="004C0B51"/>
    <w:rsid w:val="004C4C38"/>
    <w:rsid w:val="004C5D23"/>
    <w:rsid w:val="004C70DA"/>
    <w:rsid w:val="004D0C50"/>
    <w:rsid w:val="004D4FC6"/>
    <w:rsid w:val="004D54DD"/>
    <w:rsid w:val="004D7B80"/>
    <w:rsid w:val="004E032A"/>
    <w:rsid w:val="004E270B"/>
    <w:rsid w:val="004E3238"/>
    <w:rsid w:val="004E54B3"/>
    <w:rsid w:val="004F05F4"/>
    <w:rsid w:val="004F76A5"/>
    <w:rsid w:val="00500027"/>
    <w:rsid w:val="0050392A"/>
    <w:rsid w:val="00505FCB"/>
    <w:rsid w:val="00510356"/>
    <w:rsid w:val="0051390B"/>
    <w:rsid w:val="00513FEB"/>
    <w:rsid w:val="00526EF1"/>
    <w:rsid w:val="0053363E"/>
    <w:rsid w:val="00534E2C"/>
    <w:rsid w:val="00535060"/>
    <w:rsid w:val="00536FA3"/>
    <w:rsid w:val="00540021"/>
    <w:rsid w:val="00551203"/>
    <w:rsid w:val="00552E7B"/>
    <w:rsid w:val="005561C6"/>
    <w:rsid w:val="00557E05"/>
    <w:rsid w:val="005601F9"/>
    <w:rsid w:val="00560F4B"/>
    <w:rsid w:val="00566402"/>
    <w:rsid w:val="005765D4"/>
    <w:rsid w:val="0057707E"/>
    <w:rsid w:val="00580CB1"/>
    <w:rsid w:val="00584E21"/>
    <w:rsid w:val="00585EB7"/>
    <w:rsid w:val="005874F8"/>
    <w:rsid w:val="00587CBA"/>
    <w:rsid w:val="005920E1"/>
    <w:rsid w:val="00597946"/>
    <w:rsid w:val="005A2CF8"/>
    <w:rsid w:val="005A404A"/>
    <w:rsid w:val="005A4211"/>
    <w:rsid w:val="005A52DE"/>
    <w:rsid w:val="005A5ABF"/>
    <w:rsid w:val="005B12E2"/>
    <w:rsid w:val="005B228B"/>
    <w:rsid w:val="005B602F"/>
    <w:rsid w:val="005C1920"/>
    <w:rsid w:val="005C1975"/>
    <w:rsid w:val="005C1D44"/>
    <w:rsid w:val="005C1D89"/>
    <w:rsid w:val="005C28CD"/>
    <w:rsid w:val="005C3E0C"/>
    <w:rsid w:val="005C55EC"/>
    <w:rsid w:val="005C7AE1"/>
    <w:rsid w:val="005D1C85"/>
    <w:rsid w:val="005D1F36"/>
    <w:rsid w:val="005E5F38"/>
    <w:rsid w:val="005E6C50"/>
    <w:rsid w:val="005F203F"/>
    <w:rsid w:val="005F2C44"/>
    <w:rsid w:val="005F429B"/>
    <w:rsid w:val="005F67AF"/>
    <w:rsid w:val="00605C09"/>
    <w:rsid w:val="00614747"/>
    <w:rsid w:val="0062060C"/>
    <w:rsid w:val="006244ED"/>
    <w:rsid w:val="00625163"/>
    <w:rsid w:val="00632E09"/>
    <w:rsid w:val="00635EDF"/>
    <w:rsid w:val="006375D9"/>
    <w:rsid w:val="006401F4"/>
    <w:rsid w:val="00641667"/>
    <w:rsid w:val="006419CF"/>
    <w:rsid w:val="00642373"/>
    <w:rsid w:val="00642BF1"/>
    <w:rsid w:val="00646E50"/>
    <w:rsid w:val="00653A27"/>
    <w:rsid w:val="00656956"/>
    <w:rsid w:val="00657AEE"/>
    <w:rsid w:val="00662293"/>
    <w:rsid w:val="00664A95"/>
    <w:rsid w:val="0067345A"/>
    <w:rsid w:val="00673C96"/>
    <w:rsid w:val="00675814"/>
    <w:rsid w:val="006779EF"/>
    <w:rsid w:val="006818BD"/>
    <w:rsid w:val="00681901"/>
    <w:rsid w:val="00682A07"/>
    <w:rsid w:val="00684516"/>
    <w:rsid w:val="00685A31"/>
    <w:rsid w:val="0068602F"/>
    <w:rsid w:val="00687BEB"/>
    <w:rsid w:val="00687D71"/>
    <w:rsid w:val="0069627F"/>
    <w:rsid w:val="006A01B5"/>
    <w:rsid w:val="006A3435"/>
    <w:rsid w:val="006A6E39"/>
    <w:rsid w:val="006B1EE1"/>
    <w:rsid w:val="006B3C9F"/>
    <w:rsid w:val="006B75EE"/>
    <w:rsid w:val="006C4D6C"/>
    <w:rsid w:val="006D1290"/>
    <w:rsid w:val="006D2662"/>
    <w:rsid w:val="006E2CD7"/>
    <w:rsid w:val="006E35F7"/>
    <w:rsid w:val="006E5A9E"/>
    <w:rsid w:val="006E638B"/>
    <w:rsid w:val="006F1947"/>
    <w:rsid w:val="006F31D0"/>
    <w:rsid w:val="006F527E"/>
    <w:rsid w:val="00700684"/>
    <w:rsid w:val="0070600D"/>
    <w:rsid w:val="007147D0"/>
    <w:rsid w:val="00716619"/>
    <w:rsid w:val="00716F83"/>
    <w:rsid w:val="00722B7A"/>
    <w:rsid w:val="00723494"/>
    <w:rsid w:val="0072654D"/>
    <w:rsid w:val="007272C1"/>
    <w:rsid w:val="00730A75"/>
    <w:rsid w:val="00731073"/>
    <w:rsid w:val="00732397"/>
    <w:rsid w:val="0073447F"/>
    <w:rsid w:val="007371ED"/>
    <w:rsid w:val="00737A79"/>
    <w:rsid w:val="00740E87"/>
    <w:rsid w:val="007414D3"/>
    <w:rsid w:val="007437BD"/>
    <w:rsid w:val="0074534D"/>
    <w:rsid w:val="00745C6E"/>
    <w:rsid w:val="00746838"/>
    <w:rsid w:val="007516A2"/>
    <w:rsid w:val="0075318D"/>
    <w:rsid w:val="00753F22"/>
    <w:rsid w:val="00755BCC"/>
    <w:rsid w:val="00756ECB"/>
    <w:rsid w:val="007641E0"/>
    <w:rsid w:val="0077120C"/>
    <w:rsid w:val="0077349A"/>
    <w:rsid w:val="0077379C"/>
    <w:rsid w:val="007754B7"/>
    <w:rsid w:val="00782FDA"/>
    <w:rsid w:val="007847D0"/>
    <w:rsid w:val="007908D8"/>
    <w:rsid w:val="00790971"/>
    <w:rsid w:val="00792686"/>
    <w:rsid w:val="007A2F46"/>
    <w:rsid w:val="007A3A19"/>
    <w:rsid w:val="007A58C1"/>
    <w:rsid w:val="007A674C"/>
    <w:rsid w:val="007A7ED5"/>
    <w:rsid w:val="007B010A"/>
    <w:rsid w:val="007B09FC"/>
    <w:rsid w:val="007B1AB9"/>
    <w:rsid w:val="007B4D42"/>
    <w:rsid w:val="007B5441"/>
    <w:rsid w:val="007B7360"/>
    <w:rsid w:val="007C1891"/>
    <w:rsid w:val="007C34BD"/>
    <w:rsid w:val="007D0136"/>
    <w:rsid w:val="007D0820"/>
    <w:rsid w:val="007D356F"/>
    <w:rsid w:val="007D4682"/>
    <w:rsid w:val="007D476C"/>
    <w:rsid w:val="007D6FC9"/>
    <w:rsid w:val="007E0444"/>
    <w:rsid w:val="007E6846"/>
    <w:rsid w:val="00802876"/>
    <w:rsid w:val="00807F4F"/>
    <w:rsid w:val="0081013F"/>
    <w:rsid w:val="00814C59"/>
    <w:rsid w:val="00820290"/>
    <w:rsid w:val="00823029"/>
    <w:rsid w:val="00834B0B"/>
    <w:rsid w:val="008364AB"/>
    <w:rsid w:val="00841670"/>
    <w:rsid w:val="0084378E"/>
    <w:rsid w:val="00843932"/>
    <w:rsid w:val="00843D93"/>
    <w:rsid w:val="00851981"/>
    <w:rsid w:val="00852426"/>
    <w:rsid w:val="00854A1A"/>
    <w:rsid w:val="0086018A"/>
    <w:rsid w:val="00862DEC"/>
    <w:rsid w:val="0086706D"/>
    <w:rsid w:val="00870ADF"/>
    <w:rsid w:val="00870E0B"/>
    <w:rsid w:val="00873787"/>
    <w:rsid w:val="00875C90"/>
    <w:rsid w:val="00876EA7"/>
    <w:rsid w:val="008778A1"/>
    <w:rsid w:val="008805C7"/>
    <w:rsid w:val="00884AEB"/>
    <w:rsid w:val="00890936"/>
    <w:rsid w:val="008935F2"/>
    <w:rsid w:val="00894D77"/>
    <w:rsid w:val="008A44BA"/>
    <w:rsid w:val="008A6CF7"/>
    <w:rsid w:val="008B0138"/>
    <w:rsid w:val="008B1976"/>
    <w:rsid w:val="008B1D78"/>
    <w:rsid w:val="008B1E91"/>
    <w:rsid w:val="008B4CC9"/>
    <w:rsid w:val="008B6079"/>
    <w:rsid w:val="008B7887"/>
    <w:rsid w:val="008C02F1"/>
    <w:rsid w:val="008C3B1B"/>
    <w:rsid w:val="008C6048"/>
    <w:rsid w:val="008D07A7"/>
    <w:rsid w:val="008D09C2"/>
    <w:rsid w:val="008D455C"/>
    <w:rsid w:val="008E109D"/>
    <w:rsid w:val="008E31F3"/>
    <w:rsid w:val="008E32D6"/>
    <w:rsid w:val="008E4878"/>
    <w:rsid w:val="008E4F17"/>
    <w:rsid w:val="008E5AF6"/>
    <w:rsid w:val="008E7435"/>
    <w:rsid w:val="008E764A"/>
    <w:rsid w:val="008E7AE7"/>
    <w:rsid w:val="008F11CD"/>
    <w:rsid w:val="008F46CF"/>
    <w:rsid w:val="008F52C3"/>
    <w:rsid w:val="008F55C8"/>
    <w:rsid w:val="008F6D2A"/>
    <w:rsid w:val="009043CF"/>
    <w:rsid w:val="009048EA"/>
    <w:rsid w:val="009052F7"/>
    <w:rsid w:val="00906FD3"/>
    <w:rsid w:val="00915AF6"/>
    <w:rsid w:val="0091625D"/>
    <w:rsid w:val="009174B3"/>
    <w:rsid w:val="00917A5F"/>
    <w:rsid w:val="009256AC"/>
    <w:rsid w:val="00931198"/>
    <w:rsid w:val="00931CF2"/>
    <w:rsid w:val="00931DA4"/>
    <w:rsid w:val="009324E7"/>
    <w:rsid w:val="009325CA"/>
    <w:rsid w:val="00943668"/>
    <w:rsid w:val="0095204C"/>
    <w:rsid w:val="0095668C"/>
    <w:rsid w:val="009569C5"/>
    <w:rsid w:val="00957ED2"/>
    <w:rsid w:val="009649F0"/>
    <w:rsid w:val="009654C3"/>
    <w:rsid w:val="00972A64"/>
    <w:rsid w:val="00977B06"/>
    <w:rsid w:val="009818A0"/>
    <w:rsid w:val="00984467"/>
    <w:rsid w:val="00984CD4"/>
    <w:rsid w:val="00990424"/>
    <w:rsid w:val="00990AFB"/>
    <w:rsid w:val="00992090"/>
    <w:rsid w:val="00992AA3"/>
    <w:rsid w:val="009A072A"/>
    <w:rsid w:val="009A0A8E"/>
    <w:rsid w:val="009A0DD8"/>
    <w:rsid w:val="009A1F5D"/>
    <w:rsid w:val="009A3B80"/>
    <w:rsid w:val="009A69F8"/>
    <w:rsid w:val="009B010C"/>
    <w:rsid w:val="009B01A5"/>
    <w:rsid w:val="009B1EB4"/>
    <w:rsid w:val="009D1659"/>
    <w:rsid w:val="009D459A"/>
    <w:rsid w:val="009E009E"/>
    <w:rsid w:val="009E07AB"/>
    <w:rsid w:val="009E28E7"/>
    <w:rsid w:val="009F1E65"/>
    <w:rsid w:val="009F42E3"/>
    <w:rsid w:val="009F74D7"/>
    <w:rsid w:val="009F7FFE"/>
    <w:rsid w:val="00A03E67"/>
    <w:rsid w:val="00A04F07"/>
    <w:rsid w:val="00A069AB"/>
    <w:rsid w:val="00A06C0A"/>
    <w:rsid w:val="00A102B9"/>
    <w:rsid w:val="00A13AD5"/>
    <w:rsid w:val="00A13E6A"/>
    <w:rsid w:val="00A14BB7"/>
    <w:rsid w:val="00A1657D"/>
    <w:rsid w:val="00A175AA"/>
    <w:rsid w:val="00A2096D"/>
    <w:rsid w:val="00A27810"/>
    <w:rsid w:val="00A30892"/>
    <w:rsid w:val="00A33A8F"/>
    <w:rsid w:val="00A34A5E"/>
    <w:rsid w:val="00A42240"/>
    <w:rsid w:val="00A42A9A"/>
    <w:rsid w:val="00A44990"/>
    <w:rsid w:val="00A5039F"/>
    <w:rsid w:val="00A51818"/>
    <w:rsid w:val="00A55A2D"/>
    <w:rsid w:val="00A642B2"/>
    <w:rsid w:val="00A7002A"/>
    <w:rsid w:val="00A73FAB"/>
    <w:rsid w:val="00A76A65"/>
    <w:rsid w:val="00A800DF"/>
    <w:rsid w:val="00A9013B"/>
    <w:rsid w:val="00A91D8C"/>
    <w:rsid w:val="00A95BB6"/>
    <w:rsid w:val="00AA0715"/>
    <w:rsid w:val="00AA232D"/>
    <w:rsid w:val="00AA4D52"/>
    <w:rsid w:val="00AA6DDE"/>
    <w:rsid w:val="00AC0058"/>
    <w:rsid w:val="00AC1568"/>
    <w:rsid w:val="00AC626F"/>
    <w:rsid w:val="00AD0950"/>
    <w:rsid w:val="00AD1396"/>
    <w:rsid w:val="00AD42C4"/>
    <w:rsid w:val="00AD666C"/>
    <w:rsid w:val="00AD7D57"/>
    <w:rsid w:val="00AE3CC4"/>
    <w:rsid w:val="00AE4361"/>
    <w:rsid w:val="00AF7DAA"/>
    <w:rsid w:val="00B02FA0"/>
    <w:rsid w:val="00B05EFB"/>
    <w:rsid w:val="00B06DE8"/>
    <w:rsid w:val="00B12999"/>
    <w:rsid w:val="00B12DF1"/>
    <w:rsid w:val="00B12EF4"/>
    <w:rsid w:val="00B161DE"/>
    <w:rsid w:val="00B17F9C"/>
    <w:rsid w:val="00B235C6"/>
    <w:rsid w:val="00B27A39"/>
    <w:rsid w:val="00B30A65"/>
    <w:rsid w:val="00B3174C"/>
    <w:rsid w:val="00B40540"/>
    <w:rsid w:val="00B40A2B"/>
    <w:rsid w:val="00B40E10"/>
    <w:rsid w:val="00B5012A"/>
    <w:rsid w:val="00B53203"/>
    <w:rsid w:val="00B54344"/>
    <w:rsid w:val="00B567D3"/>
    <w:rsid w:val="00B60952"/>
    <w:rsid w:val="00B6199D"/>
    <w:rsid w:val="00B6282F"/>
    <w:rsid w:val="00B65B9B"/>
    <w:rsid w:val="00B66AA0"/>
    <w:rsid w:val="00B8026C"/>
    <w:rsid w:val="00B810EB"/>
    <w:rsid w:val="00B81624"/>
    <w:rsid w:val="00B81BE9"/>
    <w:rsid w:val="00B913BA"/>
    <w:rsid w:val="00B96ACD"/>
    <w:rsid w:val="00BA18CC"/>
    <w:rsid w:val="00BA5468"/>
    <w:rsid w:val="00BB2505"/>
    <w:rsid w:val="00BB40D6"/>
    <w:rsid w:val="00BB6B8D"/>
    <w:rsid w:val="00BB6E23"/>
    <w:rsid w:val="00BB6F69"/>
    <w:rsid w:val="00BC4194"/>
    <w:rsid w:val="00BC5294"/>
    <w:rsid w:val="00BC7C27"/>
    <w:rsid w:val="00BD1D72"/>
    <w:rsid w:val="00BE0008"/>
    <w:rsid w:val="00BE0A6D"/>
    <w:rsid w:val="00BE159B"/>
    <w:rsid w:val="00BE3BF0"/>
    <w:rsid w:val="00BF248D"/>
    <w:rsid w:val="00BF3BDF"/>
    <w:rsid w:val="00BF4161"/>
    <w:rsid w:val="00BF5B44"/>
    <w:rsid w:val="00BF7C81"/>
    <w:rsid w:val="00C05AED"/>
    <w:rsid w:val="00C07F26"/>
    <w:rsid w:val="00C130E3"/>
    <w:rsid w:val="00C14621"/>
    <w:rsid w:val="00C2116A"/>
    <w:rsid w:val="00C2620B"/>
    <w:rsid w:val="00C3452D"/>
    <w:rsid w:val="00C40D8D"/>
    <w:rsid w:val="00C4161C"/>
    <w:rsid w:val="00C4224A"/>
    <w:rsid w:val="00C42F04"/>
    <w:rsid w:val="00C52573"/>
    <w:rsid w:val="00C54E25"/>
    <w:rsid w:val="00C612C7"/>
    <w:rsid w:val="00C674DB"/>
    <w:rsid w:val="00C73E81"/>
    <w:rsid w:val="00C74246"/>
    <w:rsid w:val="00C7468E"/>
    <w:rsid w:val="00C75CCA"/>
    <w:rsid w:val="00C82987"/>
    <w:rsid w:val="00C85883"/>
    <w:rsid w:val="00C86394"/>
    <w:rsid w:val="00C90840"/>
    <w:rsid w:val="00C96F84"/>
    <w:rsid w:val="00C97153"/>
    <w:rsid w:val="00C97FBD"/>
    <w:rsid w:val="00CA12C6"/>
    <w:rsid w:val="00CA250A"/>
    <w:rsid w:val="00CB2031"/>
    <w:rsid w:val="00CB58D2"/>
    <w:rsid w:val="00CB5D02"/>
    <w:rsid w:val="00CB75D2"/>
    <w:rsid w:val="00CC13C2"/>
    <w:rsid w:val="00CC4E2F"/>
    <w:rsid w:val="00CC581E"/>
    <w:rsid w:val="00CC7FDF"/>
    <w:rsid w:val="00CD0F73"/>
    <w:rsid w:val="00CD1DC8"/>
    <w:rsid w:val="00CD4787"/>
    <w:rsid w:val="00CD4CCF"/>
    <w:rsid w:val="00CE2591"/>
    <w:rsid w:val="00CE2D0B"/>
    <w:rsid w:val="00CE5BA5"/>
    <w:rsid w:val="00CF0620"/>
    <w:rsid w:val="00CF33EC"/>
    <w:rsid w:val="00CF7337"/>
    <w:rsid w:val="00CF7722"/>
    <w:rsid w:val="00D038AB"/>
    <w:rsid w:val="00D055BC"/>
    <w:rsid w:val="00D06E20"/>
    <w:rsid w:val="00D07945"/>
    <w:rsid w:val="00D079A9"/>
    <w:rsid w:val="00D1403D"/>
    <w:rsid w:val="00D14E6C"/>
    <w:rsid w:val="00D21ECB"/>
    <w:rsid w:val="00D22DBD"/>
    <w:rsid w:val="00D25B1C"/>
    <w:rsid w:val="00D25BAD"/>
    <w:rsid w:val="00D26799"/>
    <w:rsid w:val="00D27ACE"/>
    <w:rsid w:val="00D31DBA"/>
    <w:rsid w:val="00D3221D"/>
    <w:rsid w:val="00D32AA8"/>
    <w:rsid w:val="00D34530"/>
    <w:rsid w:val="00D35C7F"/>
    <w:rsid w:val="00D45A7F"/>
    <w:rsid w:val="00D47627"/>
    <w:rsid w:val="00D60290"/>
    <w:rsid w:val="00D631F0"/>
    <w:rsid w:val="00D63A7A"/>
    <w:rsid w:val="00D70668"/>
    <w:rsid w:val="00D71FDC"/>
    <w:rsid w:val="00D722B0"/>
    <w:rsid w:val="00D740DF"/>
    <w:rsid w:val="00D77D97"/>
    <w:rsid w:val="00D82068"/>
    <w:rsid w:val="00D8265E"/>
    <w:rsid w:val="00D82D97"/>
    <w:rsid w:val="00D92252"/>
    <w:rsid w:val="00D92FF6"/>
    <w:rsid w:val="00D94B13"/>
    <w:rsid w:val="00D94C6D"/>
    <w:rsid w:val="00D96468"/>
    <w:rsid w:val="00D96F4A"/>
    <w:rsid w:val="00DA114B"/>
    <w:rsid w:val="00DA2D9F"/>
    <w:rsid w:val="00DA378A"/>
    <w:rsid w:val="00DA5C1A"/>
    <w:rsid w:val="00DA6D4A"/>
    <w:rsid w:val="00DB2506"/>
    <w:rsid w:val="00DB384B"/>
    <w:rsid w:val="00DB6336"/>
    <w:rsid w:val="00DB7F0D"/>
    <w:rsid w:val="00DC0D58"/>
    <w:rsid w:val="00DC0E4A"/>
    <w:rsid w:val="00DC1CC3"/>
    <w:rsid w:val="00DC30B0"/>
    <w:rsid w:val="00DD39D6"/>
    <w:rsid w:val="00DD3BC8"/>
    <w:rsid w:val="00DD7D71"/>
    <w:rsid w:val="00DE356F"/>
    <w:rsid w:val="00DE3C35"/>
    <w:rsid w:val="00DE5960"/>
    <w:rsid w:val="00DE75D1"/>
    <w:rsid w:val="00DF5016"/>
    <w:rsid w:val="00E00163"/>
    <w:rsid w:val="00E0091A"/>
    <w:rsid w:val="00E00E14"/>
    <w:rsid w:val="00E02A3D"/>
    <w:rsid w:val="00E04449"/>
    <w:rsid w:val="00E05BF2"/>
    <w:rsid w:val="00E06553"/>
    <w:rsid w:val="00E10FF3"/>
    <w:rsid w:val="00E15D2B"/>
    <w:rsid w:val="00E17AB8"/>
    <w:rsid w:val="00E20E7A"/>
    <w:rsid w:val="00E241F5"/>
    <w:rsid w:val="00E242C5"/>
    <w:rsid w:val="00E24C42"/>
    <w:rsid w:val="00E25441"/>
    <w:rsid w:val="00E36958"/>
    <w:rsid w:val="00E41F74"/>
    <w:rsid w:val="00E46125"/>
    <w:rsid w:val="00E46BB1"/>
    <w:rsid w:val="00E5300A"/>
    <w:rsid w:val="00E54478"/>
    <w:rsid w:val="00E569F8"/>
    <w:rsid w:val="00E57216"/>
    <w:rsid w:val="00E66E40"/>
    <w:rsid w:val="00E72F28"/>
    <w:rsid w:val="00E765FA"/>
    <w:rsid w:val="00E76C3A"/>
    <w:rsid w:val="00E806A4"/>
    <w:rsid w:val="00E83A35"/>
    <w:rsid w:val="00E85786"/>
    <w:rsid w:val="00E8629E"/>
    <w:rsid w:val="00E92483"/>
    <w:rsid w:val="00E939FE"/>
    <w:rsid w:val="00E94FEB"/>
    <w:rsid w:val="00E9540F"/>
    <w:rsid w:val="00E96983"/>
    <w:rsid w:val="00EA3CD1"/>
    <w:rsid w:val="00EA6EF6"/>
    <w:rsid w:val="00EB21DF"/>
    <w:rsid w:val="00EB2A4D"/>
    <w:rsid w:val="00EB2A66"/>
    <w:rsid w:val="00EB36C3"/>
    <w:rsid w:val="00EB6CE3"/>
    <w:rsid w:val="00EB79F0"/>
    <w:rsid w:val="00EC4390"/>
    <w:rsid w:val="00EC5293"/>
    <w:rsid w:val="00EC7947"/>
    <w:rsid w:val="00ED0B05"/>
    <w:rsid w:val="00ED3330"/>
    <w:rsid w:val="00ED4137"/>
    <w:rsid w:val="00ED4E76"/>
    <w:rsid w:val="00ED587C"/>
    <w:rsid w:val="00ED7856"/>
    <w:rsid w:val="00EE1478"/>
    <w:rsid w:val="00EE6819"/>
    <w:rsid w:val="00EE79C3"/>
    <w:rsid w:val="00EF5E24"/>
    <w:rsid w:val="00EF61EB"/>
    <w:rsid w:val="00EF7F9C"/>
    <w:rsid w:val="00F00FD4"/>
    <w:rsid w:val="00F0761A"/>
    <w:rsid w:val="00F12078"/>
    <w:rsid w:val="00F155F5"/>
    <w:rsid w:val="00F21071"/>
    <w:rsid w:val="00F21FC3"/>
    <w:rsid w:val="00F2286E"/>
    <w:rsid w:val="00F23ABB"/>
    <w:rsid w:val="00F25669"/>
    <w:rsid w:val="00F27BDB"/>
    <w:rsid w:val="00F3034A"/>
    <w:rsid w:val="00F31322"/>
    <w:rsid w:val="00F37D01"/>
    <w:rsid w:val="00F40296"/>
    <w:rsid w:val="00F438E3"/>
    <w:rsid w:val="00F4714F"/>
    <w:rsid w:val="00F52788"/>
    <w:rsid w:val="00F62C7B"/>
    <w:rsid w:val="00F649CC"/>
    <w:rsid w:val="00F65E7A"/>
    <w:rsid w:val="00F70E2B"/>
    <w:rsid w:val="00F722B9"/>
    <w:rsid w:val="00F8269B"/>
    <w:rsid w:val="00F82B46"/>
    <w:rsid w:val="00F82D14"/>
    <w:rsid w:val="00F850C2"/>
    <w:rsid w:val="00F86E11"/>
    <w:rsid w:val="00F87CD8"/>
    <w:rsid w:val="00F92ED7"/>
    <w:rsid w:val="00F949A4"/>
    <w:rsid w:val="00F96F4D"/>
    <w:rsid w:val="00FA49FE"/>
    <w:rsid w:val="00FB0449"/>
    <w:rsid w:val="00FB4084"/>
    <w:rsid w:val="00FB5E4E"/>
    <w:rsid w:val="00FC5029"/>
    <w:rsid w:val="00FC704C"/>
    <w:rsid w:val="00FD30EE"/>
    <w:rsid w:val="00FD6058"/>
    <w:rsid w:val="00FD7CD4"/>
    <w:rsid w:val="00FE1408"/>
    <w:rsid w:val="00FE1525"/>
    <w:rsid w:val="00FE3FBA"/>
    <w:rsid w:val="00FE56B0"/>
    <w:rsid w:val="00FF1618"/>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7BD"/>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34"/>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3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table" w:customStyle="1" w:styleId="TableNormal">
    <w:name w:val="Table Normal"/>
    <w:rsid w:val="00646E50"/>
    <w:pPr>
      <w:spacing w:after="160"/>
    </w:pPr>
    <w:rPr>
      <w:rFonts w:ascii="Times New Roman" w:eastAsia="Times New Roman" w:hAnsi="Times New Roman"/>
      <w:sz w:val="24"/>
      <w:szCs w:val="24"/>
      <w:lang w:val="es-CO"/>
    </w:rPr>
    <w:tblPr>
      <w:tblCellMar>
        <w:top w:w="0" w:type="dxa"/>
        <w:left w:w="0" w:type="dxa"/>
        <w:bottom w:w="0" w:type="dxa"/>
        <w:right w:w="0" w:type="dxa"/>
      </w:tblCellMar>
    </w:tblPr>
  </w:style>
  <w:style w:type="paragraph" w:styleId="NormalWeb">
    <w:name w:val="Normal (Web)"/>
    <w:basedOn w:val="Normal"/>
    <w:uiPriority w:val="99"/>
    <w:unhideWhenUsed/>
    <w:rsid w:val="00646E50"/>
    <w:pPr>
      <w:spacing w:before="100" w:beforeAutospacing="1" w:after="100" w:afterAutospacing="1"/>
    </w:pPr>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69663">
      <w:bodyDiv w:val="1"/>
      <w:marLeft w:val="0"/>
      <w:marRight w:val="0"/>
      <w:marTop w:val="0"/>
      <w:marBottom w:val="0"/>
      <w:divBdr>
        <w:top w:val="none" w:sz="0" w:space="0" w:color="auto"/>
        <w:left w:val="none" w:sz="0" w:space="0" w:color="auto"/>
        <w:bottom w:val="none" w:sz="0" w:space="0" w:color="auto"/>
        <w:right w:val="none" w:sz="0" w:space="0" w:color="auto"/>
      </w:divBdr>
    </w:div>
    <w:div w:id="540476841">
      <w:bodyDiv w:val="1"/>
      <w:marLeft w:val="0"/>
      <w:marRight w:val="0"/>
      <w:marTop w:val="0"/>
      <w:marBottom w:val="0"/>
      <w:divBdr>
        <w:top w:val="none" w:sz="0" w:space="0" w:color="auto"/>
        <w:left w:val="none" w:sz="0" w:space="0" w:color="auto"/>
        <w:bottom w:val="none" w:sz="0" w:space="0" w:color="auto"/>
        <w:right w:val="none" w:sz="0" w:space="0" w:color="auto"/>
      </w:divBdr>
    </w:div>
    <w:div w:id="1459102911">
      <w:bodyDiv w:val="1"/>
      <w:marLeft w:val="0"/>
      <w:marRight w:val="0"/>
      <w:marTop w:val="0"/>
      <w:marBottom w:val="0"/>
      <w:divBdr>
        <w:top w:val="none" w:sz="0" w:space="0" w:color="auto"/>
        <w:left w:val="none" w:sz="0" w:space="0" w:color="auto"/>
        <w:bottom w:val="none" w:sz="0" w:space="0" w:color="auto"/>
        <w:right w:val="none" w:sz="0" w:space="0" w:color="auto"/>
      </w:divBdr>
      <w:divsChild>
        <w:div w:id="24528232">
          <w:marLeft w:val="0"/>
          <w:marRight w:val="0"/>
          <w:marTop w:val="0"/>
          <w:marBottom w:val="0"/>
          <w:divBdr>
            <w:top w:val="none" w:sz="0" w:space="0" w:color="auto"/>
            <w:left w:val="none" w:sz="0" w:space="0" w:color="auto"/>
            <w:bottom w:val="none" w:sz="0" w:space="0" w:color="auto"/>
            <w:right w:val="none" w:sz="0" w:space="0" w:color="auto"/>
          </w:divBdr>
          <w:divsChild>
            <w:div w:id="2146774513">
              <w:marLeft w:val="0"/>
              <w:marRight w:val="0"/>
              <w:marTop w:val="0"/>
              <w:marBottom w:val="0"/>
              <w:divBdr>
                <w:top w:val="none" w:sz="0" w:space="0" w:color="auto"/>
                <w:left w:val="none" w:sz="0" w:space="0" w:color="auto"/>
                <w:bottom w:val="none" w:sz="0" w:space="0" w:color="auto"/>
                <w:right w:val="none" w:sz="0" w:space="0" w:color="auto"/>
              </w:divBdr>
            </w:div>
          </w:divsChild>
        </w:div>
        <w:div w:id="1097366214">
          <w:marLeft w:val="0"/>
          <w:marRight w:val="0"/>
          <w:marTop w:val="0"/>
          <w:marBottom w:val="0"/>
          <w:divBdr>
            <w:top w:val="none" w:sz="0" w:space="0" w:color="auto"/>
            <w:left w:val="none" w:sz="0" w:space="0" w:color="auto"/>
            <w:bottom w:val="none" w:sz="0" w:space="0" w:color="auto"/>
            <w:right w:val="none" w:sz="0" w:space="0" w:color="auto"/>
          </w:divBdr>
          <w:divsChild>
            <w:div w:id="1139105811">
              <w:marLeft w:val="0"/>
              <w:marRight w:val="0"/>
              <w:marTop w:val="0"/>
              <w:marBottom w:val="0"/>
              <w:divBdr>
                <w:top w:val="none" w:sz="0" w:space="0" w:color="auto"/>
                <w:left w:val="none" w:sz="0" w:space="0" w:color="auto"/>
                <w:bottom w:val="none" w:sz="0" w:space="0" w:color="auto"/>
                <w:right w:val="none" w:sz="0" w:space="0" w:color="auto"/>
              </w:divBdr>
            </w:div>
            <w:div w:id="1270115547">
              <w:marLeft w:val="0"/>
              <w:marRight w:val="0"/>
              <w:marTop w:val="0"/>
              <w:marBottom w:val="0"/>
              <w:divBdr>
                <w:top w:val="none" w:sz="0" w:space="0" w:color="auto"/>
                <w:left w:val="none" w:sz="0" w:space="0" w:color="auto"/>
                <w:bottom w:val="none" w:sz="0" w:space="0" w:color="auto"/>
                <w:right w:val="none" w:sz="0" w:space="0" w:color="auto"/>
              </w:divBdr>
            </w:div>
          </w:divsChild>
        </w:div>
        <w:div w:id="1114595897">
          <w:marLeft w:val="0"/>
          <w:marRight w:val="0"/>
          <w:marTop w:val="0"/>
          <w:marBottom w:val="0"/>
          <w:divBdr>
            <w:top w:val="none" w:sz="0" w:space="0" w:color="auto"/>
            <w:left w:val="none" w:sz="0" w:space="0" w:color="auto"/>
            <w:bottom w:val="none" w:sz="0" w:space="0" w:color="auto"/>
            <w:right w:val="none" w:sz="0" w:space="0" w:color="auto"/>
          </w:divBdr>
          <w:divsChild>
            <w:div w:id="8040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atascience.recursos.uoc.edu/es/jamovi/"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0.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emf"/><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D68E-C292-4F05-B259-41459368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6091</Words>
  <Characters>33505</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39517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ipr</dc:creator>
  <cp:lastModifiedBy>UTEQ</cp:lastModifiedBy>
  <cp:revision>3</cp:revision>
  <cp:lastPrinted>2020-09-15T15:30:00Z</cp:lastPrinted>
  <dcterms:created xsi:type="dcterms:W3CDTF">2023-05-24T23:46:00Z</dcterms:created>
  <dcterms:modified xsi:type="dcterms:W3CDTF">2023-05-24T23:47:00Z</dcterms:modified>
</cp:coreProperties>
</file>