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392"/>
        <w:gridCol w:w="7968"/>
      </w:tblGrid>
      <w:tr w:rsidR="00D35C7F" w:rsidRPr="00646913" w14:paraId="3B5F20CD" w14:textId="77777777">
        <w:tc>
          <w:tcPr>
            <w:tcW w:w="392" w:type="dxa"/>
            <w:shd w:val="clear" w:color="auto" w:fill="0F243E"/>
          </w:tcPr>
          <w:p w14:paraId="3DD39B85" w14:textId="66CDC108" w:rsidR="00D35C7F" w:rsidRPr="00646913" w:rsidRDefault="00D35C7F" w:rsidP="004D4FC6">
            <w:pPr>
              <w:spacing w:line="360" w:lineRule="auto"/>
              <w:jc w:val="center"/>
              <w:rPr>
                <w:b/>
                <w:bCs/>
                <w:color w:val="FFFFFF"/>
              </w:rPr>
            </w:pPr>
          </w:p>
        </w:tc>
        <w:tc>
          <w:tcPr>
            <w:tcW w:w="7968" w:type="dxa"/>
            <w:shd w:val="clear" w:color="auto" w:fill="DBE5F1"/>
          </w:tcPr>
          <w:p w14:paraId="6014C739" w14:textId="77777777" w:rsidR="00C767B2" w:rsidRPr="00646913" w:rsidRDefault="00C767B2" w:rsidP="00C767B2">
            <w:pPr>
              <w:spacing w:line="360" w:lineRule="auto"/>
              <w:jc w:val="center"/>
            </w:pPr>
          </w:p>
          <w:p w14:paraId="182BBF95" w14:textId="77777777" w:rsidR="00C767B2" w:rsidRPr="009177CD" w:rsidRDefault="00C767B2" w:rsidP="00C767B2">
            <w:pPr>
              <w:spacing w:line="360" w:lineRule="auto"/>
              <w:ind w:firstLine="708"/>
              <w:jc w:val="center"/>
              <w:rPr>
                <w:b/>
                <w:sz w:val="28"/>
                <w:szCs w:val="28"/>
              </w:rPr>
            </w:pPr>
            <w:r w:rsidRPr="009177CD">
              <w:rPr>
                <w:b/>
                <w:sz w:val="28"/>
                <w:szCs w:val="28"/>
              </w:rPr>
              <w:t>Validación de un instrumento sobre el acoso sexual en el trabajo</w:t>
            </w:r>
          </w:p>
          <w:p w14:paraId="7A020AA4" w14:textId="5CFADDF6" w:rsidR="00D35C7F" w:rsidRPr="00646913" w:rsidRDefault="00D35C7F" w:rsidP="00802876">
            <w:pPr>
              <w:spacing w:line="360" w:lineRule="auto"/>
              <w:rPr>
                <w:b/>
                <w:bCs/>
              </w:rPr>
            </w:pPr>
          </w:p>
        </w:tc>
      </w:tr>
    </w:tbl>
    <w:p w14:paraId="678AAF06" w14:textId="6A9A8BD1" w:rsidR="00C767B2" w:rsidRPr="00646913" w:rsidRDefault="00C767B2" w:rsidP="00C767B2">
      <w:pPr>
        <w:spacing w:line="360" w:lineRule="auto"/>
      </w:pPr>
    </w:p>
    <w:p w14:paraId="5CCEF98B" w14:textId="46CBA466" w:rsidR="00814785" w:rsidRPr="00646913" w:rsidRDefault="00814785" w:rsidP="00814785">
      <w:pPr>
        <w:jc w:val="center"/>
      </w:pPr>
      <w:r w:rsidRPr="00646913">
        <w:t>D</w:t>
      </w:r>
      <w:r w:rsidR="00C767B2" w:rsidRPr="00646913">
        <w:t>e la Garza Carranza</w:t>
      </w:r>
      <w:r w:rsidRPr="00646913">
        <w:t xml:space="preserve"> María Teresa</w:t>
      </w:r>
      <w:r w:rsidR="00EC3C35" w:rsidRPr="00646913">
        <w:rPr>
          <w:rStyle w:val="Refdenotaalpie"/>
        </w:rPr>
        <w:footnoteReference w:id="1"/>
      </w:r>
      <w:r w:rsidRPr="00646913">
        <w:t>, Dueñas Aguado Deborah María</w:t>
      </w:r>
      <w:r w:rsidR="00646913" w:rsidRPr="00646913">
        <w:rPr>
          <w:rStyle w:val="Refdenotaalpie"/>
        </w:rPr>
        <w:footnoteReference w:id="2"/>
      </w:r>
      <w:r w:rsidR="00646913" w:rsidRPr="00646913">
        <w:t xml:space="preserve"> </w:t>
      </w:r>
      <w:r w:rsidRPr="00646913">
        <w:t>, Cano Ibarra Salustia Teresa</w:t>
      </w:r>
      <w:r w:rsidR="00646913" w:rsidRPr="00646913">
        <w:rPr>
          <w:rStyle w:val="Refdenotaalpie"/>
        </w:rPr>
        <w:footnoteReference w:id="3"/>
      </w:r>
    </w:p>
    <w:p w14:paraId="7C7BC510" w14:textId="0216D371" w:rsidR="00C767B2" w:rsidRPr="00E27221" w:rsidRDefault="00C767B2" w:rsidP="00646913">
      <w:pPr>
        <w:rPr>
          <w:b/>
          <w:sz w:val="28"/>
          <w:szCs w:val="28"/>
        </w:rPr>
      </w:pPr>
    </w:p>
    <w:p w14:paraId="40BA513F" w14:textId="7D6EF891" w:rsidR="00646913" w:rsidRPr="00E27221" w:rsidRDefault="00713F45" w:rsidP="00646913">
      <w:pPr>
        <w:rPr>
          <w:b/>
          <w:sz w:val="28"/>
          <w:szCs w:val="28"/>
        </w:rPr>
      </w:pPr>
      <w:r w:rsidRPr="00E27221">
        <w:rPr>
          <w:b/>
          <w:sz w:val="28"/>
          <w:szCs w:val="28"/>
        </w:rPr>
        <w:t>Resumen</w:t>
      </w:r>
    </w:p>
    <w:p w14:paraId="2542C565" w14:textId="77777777" w:rsidR="00713F45" w:rsidRPr="00646913" w:rsidRDefault="00713F45" w:rsidP="00646913"/>
    <w:p w14:paraId="2843B8F1" w14:textId="35959C0D" w:rsidR="00C767B2" w:rsidRDefault="00646913" w:rsidP="00B74F85">
      <w:pPr>
        <w:jc w:val="both"/>
        <w:rPr>
          <w:bCs/>
          <w:i/>
          <w:lang w:eastAsia="es-ES_tradnl"/>
        </w:rPr>
      </w:pPr>
      <w:r w:rsidRPr="00E27221">
        <w:rPr>
          <w:i/>
        </w:rPr>
        <w:t>El o</w:t>
      </w:r>
      <w:r w:rsidR="00E27221">
        <w:rPr>
          <w:i/>
        </w:rPr>
        <w:t>bjetivo de esta investigación fue</w:t>
      </w:r>
      <w:r w:rsidRPr="00E27221">
        <w:rPr>
          <w:i/>
        </w:rPr>
        <w:t xml:space="preserve"> validar el instrumento para la detección </w:t>
      </w:r>
      <w:r w:rsidR="001C0E41" w:rsidRPr="00E27221">
        <w:rPr>
          <w:i/>
        </w:rPr>
        <w:t xml:space="preserve">del acoso sexual que fue desarrollado en Estados Unidos para población de mujeres latinas y </w:t>
      </w:r>
      <w:r w:rsidR="00E27221">
        <w:rPr>
          <w:i/>
        </w:rPr>
        <w:t xml:space="preserve">que </w:t>
      </w:r>
      <w:r w:rsidR="001C0E41" w:rsidRPr="00E27221">
        <w:rPr>
          <w:i/>
        </w:rPr>
        <w:t>será aplicado en el contexto de mujeres mexicanas.</w:t>
      </w:r>
      <w:r w:rsidR="00713F45" w:rsidRPr="00E27221">
        <w:rPr>
          <w:i/>
        </w:rPr>
        <w:t xml:space="preserve"> La metodología es </w:t>
      </w:r>
      <w:r w:rsidR="00E27221">
        <w:rPr>
          <w:i/>
        </w:rPr>
        <w:t>de tipo cuantitativo</w:t>
      </w:r>
      <w:r w:rsidR="00713F45" w:rsidRPr="00E27221">
        <w:rPr>
          <w:i/>
        </w:rPr>
        <w:t xml:space="preserve">, se utilizó el análisis factorial exploratorio con las pruebas de </w:t>
      </w:r>
      <w:proofErr w:type="spellStart"/>
      <w:r w:rsidR="00713F45" w:rsidRPr="00E27221">
        <w:rPr>
          <w:i/>
        </w:rPr>
        <w:t>Kaiser</w:t>
      </w:r>
      <w:proofErr w:type="spellEnd"/>
      <w:r w:rsidR="00713F45" w:rsidRPr="00E27221">
        <w:rPr>
          <w:i/>
        </w:rPr>
        <w:t xml:space="preserve"> – Meyer </w:t>
      </w:r>
      <w:r w:rsidR="00E27221" w:rsidRPr="00E27221">
        <w:rPr>
          <w:i/>
        </w:rPr>
        <w:t>–</w:t>
      </w:r>
      <w:proofErr w:type="spellStart"/>
      <w:r w:rsidR="00713F45" w:rsidRPr="00E27221">
        <w:rPr>
          <w:i/>
        </w:rPr>
        <w:t>O</w:t>
      </w:r>
      <w:r w:rsidR="00E27221" w:rsidRPr="00E27221">
        <w:rPr>
          <w:i/>
        </w:rPr>
        <w:t>lkin</w:t>
      </w:r>
      <w:proofErr w:type="spellEnd"/>
      <w:r w:rsidR="00E27221" w:rsidRPr="00E27221">
        <w:rPr>
          <w:i/>
        </w:rPr>
        <w:t xml:space="preserve"> y Bartlett</w:t>
      </w:r>
      <w:r w:rsidR="00713F45" w:rsidRPr="00E27221">
        <w:rPr>
          <w:i/>
        </w:rPr>
        <w:t xml:space="preserve">, el </w:t>
      </w:r>
      <w:r w:rsidR="00E27221">
        <w:rPr>
          <w:i/>
        </w:rPr>
        <w:t>marco de muestreo utilizado</w:t>
      </w:r>
      <w:r w:rsidR="00713F45" w:rsidRPr="00E27221">
        <w:rPr>
          <w:i/>
        </w:rPr>
        <w:t xml:space="preserve"> en esta investigación se enfoca a mujeres empleadas de manera formal del estado de Guanajuato en México, residentes de los municipios de Celaya, Irapuato y Guanajuato, la muestra fue de 348 participantes mujeres</w:t>
      </w:r>
      <w:r w:rsidR="00E27221">
        <w:rPr>
          <w:i/>
        </w:rPr>
        <w:t>.</w:t>
      </w:r>
      <w:r w:rsidR="001C0E41" w:rsidRPr="00E27221">
        <w:rPr>
          <w:i/>
        </w:rPr>
        <w:t xml:space="preserve"> s. Los resultados del análisis factorial exploratorio demuestran que se encontraron dos tipos de categorías: hostilid</w:t>
      </w:r>
      <w:r w:rsidR="00E27221" w:rsidRPr="00E27221">
        <w:rPr>
          <w:i/>
        </w:rPr>
        <w:t>ad sexual y hostilidad sexista y que el instrumento es válido para el entorno mexicano.</w:t>
      </w:r>
      <w:r w:rsidR="001C0E41" w:rsidRPr="00E27221">
        <w:rPr>
          <w:i/>
        </w:rPr>
        <w:t xml:space="preserve"> </w:t>
      </w:r>
      <w:r w:rsidR="00B74F85">
        <w:rPr>
          <w:bCs/>
          <w:i/>
          <w:lang w:eastAsia="es-ES_tradnl"/>
        </w:rPr>
        <w:t>E</w:t>
      </w:r>
      <w:r w:rsidR="00B74F85" w:rsidRPr="00E27221">
        <w:rPr>
          <w:bCs/>
          <w:i/>
          <w:lang w:eastAsia="es-ES_tradnl"/>
        </w:rPr>
        <w:t>l resultado descriptivo de los datos en relación a los ítems</w:t>
      </w:r>
      <w:r w:rsidR="00B74F85">
        <w:rPr>
          <w:bCs/>
          <w:i/>
          <w:lang w:eastAsia="es-ES_tradnl"/>
        </w:rPr>
        <w:t xml:space="preserve"> muestra que los niveles de acoso </w:t>
      </w:r>
      <w:r w:rsidR="00E27221" w:rsidRPr="00E27221">
        <w:rPr>
          <w:bCs/>
          <w:i/>
          <w:lang w:eastAsia="es-ES_tradnl"/>
        </w:rPr>
        <w:t>sexual en el trabajo son bajos</w:t>
      </w:r>
      <w:r w:rsidR="00B74F85">
        <w:rPr>
          <w:bCs/>
          <w:i/>
          <w:lang w:eastAsia="es-ES_tradnl"/>
        </w:rPr>
        <w:t>.</w:t>
      </w:r>
    </w:p>
    <w:p w14:paraId="47906382" w14:textId="77777777" w:rsidR="00B74F85" w:rsidRDefault="00B74F85" w:rsidP="00E27221">
      <w:pPr>
        <w:jc w:val="both"/>
        <w:rPr>
          <w:i/>
        </w:rPr>
      </w:pPr>
    </w:p>
    <w:p w14:paraId="6B44E99D" w14:textId="130D02D6" w:rsidR="00E27221" w:rsidRPr="00E27221" w:rsidRDefault="00E27221" w:rsidP="00E27221">
      <w:pPr>
        <w:jc w:val="both"/>
        <w:rPr>
          <w:i/>
        </w:rPr>
      </w:pPr>
      <w:r>
        <w:rPr>
          <w:i/>
        </w:rPr>
        <w:t>Palabras clave: Acoso sexual, hostilidad sexual, hostilidad sexista, análisis factorial exploratorio</w:t>
      </w:r>
    </w:p>
    <w:p w14:paraId="2D24DAF9" w14:textId="77777777" w:rsidR="00E27221" w:rsidRDefault="00E27221" w:rsidP="00C767B2">
      <w:pPr>
        <w:spacing w:line="360" w:lineRule="auto"/>
        <w:ind w:firstLine="708"/>
        <w:jc w:val="both"/>
        <w:rPr>
          <w:b/>
        </w:rPr>
      </w:pPr>
    </w:p>
    <w:p w14:paraId="491AC294" w14:textId="1FC6A2C3" w:rsidR="00C767B2" w:rsidRPr="00B74F85" w:rsidRDefault="00B74F85" w:rsidP="00B74F85">
      <w:pPr>
        <w:spacing w:line="360" w:lineRule="auto"/>
        <w:rPr>
          <w:b/>
          <w:sz w:val="28"/>
          <w:szCs w:val="28"/>
        </w:rPr>
      </w:pPr>
      <w:r>
        <w:rPr>
          <w:b/>
          <w:sz w:val="28"/>
          <w:szCs w:val="28"/>
        </w:rPr>
        <w:t>Introducción</w:t>
      </w:r>
    </w:p>
    <w:p w14:paraId="22A7771E" w14:textId="77777777" w:rsidR="00C767B2" w:rsidRPr="00646913" w:rsidRDefault="00C767B2" w:rsidP="00C767B2">
      <w:pPr>
        <w:spacing w:line="360" w:lineRule="auto"/>
        <w:ind w:firstLine="708"/>
        <w:jc w:val="both"/>
      </w:pPr>
      <w:r w:rsidRPr="00646913">
        <w:t xml:space="preserve">La equidad de género es un derecho humano. La relación entre hombres y mujeres ha cambiado a través del tiempo y han influido diversos factores como la cultura, la economía, la historia y la tecnología. Especialmente en el trabajo, es importante identificar el grado de acoso sexual debido al riesgo que se pone a la trabajadora. </w:t>
      </w:r>
    </w:p>
    <w:p w14:paraId="0D917B17" w14:textId="77777777" w:rsidR="00C767B2" w:rsidRPr="00646913" w:rsidRDefault="00C767B2" w:rsidP="00C767B2">
      <w:pPr>
        <w:spacing w:line="360" w:lineRule="auto"/>
        <w:ind w:firstLine="708"/>
        <w:jc w:val="both"/>
      </w:pPr>
      <w:r w:rsidRPr="00646913">
        <w:t xml:space="preserve">En esta investigación se busca validar el instrumento desarrollado por Cortina para la detección del acoso sexual. Aunque este cuestionario fue desarrollado en Estados Unidos, se </w:t>
      </w:r>
      <w:r w:rsidRPr="00646913">
        <w:lastRenderedPageBreak/>
        <w:t xml:space="preserve">realizó específicamente para la población latina por lo que consideramos adecuado utilizarlo en trabajadoras mexicanas. Los resultados demuestran que se obtienen dos factores. Los resultados del análisis factorial exploratorio nos demuestran que se encontraron dos tipos de categorías: hostilidad sexual y hostilidad sexista.  </w:t>
      </w:r>
    </w:p>
    <w:p w14:paraId="212BD5E2" w14:textId="77777777" w:rsidR="00C767B2" w:rsidRPr="00646913" w:rsidRDefault="00C767B2" w:rsidP="00C767B2">
      <w:pPr>
        <w:spacing w:line="360" w:lineRule="auto"/>
        <w:ind w:firstLine="708"/>
        <w:jc w:val="both"/>
      </w:pPr>
    </w:p>
    <w:p w14:paraId="29B8FF3E" w14:textId="77777777" w:rsidR="00C767B2" w:rsidRPr="00B74F85" w:rsidRDefault="00C767B2" w:rsidP="00C767B2">
      <w:pPr>
        <w:spacing w:line="360" w:lineRule="auto"/>
        <w:ind w:firstLine="708"/>
        <w:jc w:val="both"/>
        <w:rPr>
          <w:b/>
          <w:sz w:val="28"/>
          <w:szCs w:val="28"/>
        </w:rPr>
      </w:pPr>
      <w:r w:rsidRPr="00B74F85">
        <w:rPr>
          <w:b/>
          <w:sz w:val="28"/>
          <w:szCs w:val="28"/>
        </w:rPr>
        <w:t>Marco teórico</w:t>
      </w:r>
    </w:p>
    <w:p w14:paraId="3924B395" w14:textId="3507D354" w:rsidR="00C767B2" w:rsidRPr="00646913" w:rsidRDefault="00C767B2" w:rsidP="00C767B2">
      <w:pPr>
        <w:spacing w:line="360" w:lineRule="auto"/>
        <w:ind w:firstLine="708"/>
        <w:jc w:val="both"/>
      </w:pPr>
      <w:r w:rsidRPr="00646913">
        <w:t xml:space="preserve">Para alcanzar la paz, justicia, equidad y la eliminación de las fuentes de conflictos entre la población, se debe promover la promoción y la protección de los derechos humanos como un principio fundamental, con apego a la Carta de las Naciones Unidas, teniendo que cuenta la independencia y la soberanía que incluye la resolución de la explotación de los recursos naturales y los asuntos internos con relación a los derechos de las personas que defienden su integridad territorial, considerando que se debe eliminar el uso de la fuerza, promoviendo y manteniendo un nuevo orden de justicia económica mundial </w:t>
      </w:r>
      <w:sdt>
        <w:sdtPr>
          <w:id w:val="-725598144"/>
          <w:citation/>
        </w:sdtPr>
        <w:sdtEndPr/>
        <w:sdtContent>
          <w:r w:rsidR="006A6EF0">
            <w:fldChar w:fldCharType="begin"/>
          </w:r>
          <w:r w:rsidR="006A6EF0">
            <w:rPr>
              <w:lang w:val="es-MX"/>
            </w:rPr>
            <w:instrText xml:space="preserve"> CITATION Uni76 \l 2058 </w:instrText>
          </w:r>
          <w:r w:rsidR="006A6EF0">
            <w:fldChar w:fldCharType="separate"/>
          </w:r>
          <w:r w:rsidR="006A6EF0" w:rsidRPr="006A6EF0">
            <w:rPr>
              <w:noProof/>
              <w:lang w:val="es-MX"/>
            </w:rPr>
            <w:t>(United Nations, 1976)</w:t>
          </w:r>
          <w:r w:rsidR="006A6EF0">
            <w:fldChar w:fldCharType="end"/>
          </w:r>
        </w:sdtContent>
      </w:sdt>
      <w:r w:rsidR="006D5A8B">
        <w:t>.</w:t>
      </w:r>
    </w:p>
    <w:p w14:paraId="500A2E99" w14:textId="77777777" w:rsidR="00C767B2" w:rsidRPr="00646913" w:rsidRDefault="00C767B2" w:rsidP="00C767B2">
      <w:pPr>
        <w:spacing w:line="360" w:lineRule="auto"/>
        <w:ind w:firstLine="708"/>
        <w:jc w:val="both"/>
      </w:pPr>
      <w:r w:rsidRPr="00646913">
        <w:t>En el ámbito laboral, se considera la necesidad de que en los sectores públicos y privados:</w:t>
      </w:r>
    </w:p>
    <w:p w14:paraId="31AA8AC2" w14:textId="77777777" w:rsidR="00C767B2" w:rsidRPr="00646913" w:rsidRDefault="00C767B2" w:rsidP="00C767B2">
      <w:pPr>
        <w:pStyle w:val="Prrafodelista"/>
        <w:numPr>
          <w:ilvl w:val="0"/>
          <w:numId w:val="2"/>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Se mejoren las condiciones de trabajo, con enfoque en la higiene ocupación;</w:t>
      </w:r>
    </w:p>
    <w:p w14:paraId="769A12E2" w14:textId="77777777" w:rsidR="00C767B2" w:rsidRPr="00646913" w:rsidRDefault="00C767B2" w:rsidP="00C767B2">
      <w:pPr>
        <w:pStyle w:val="Prrafodelista"/>
        <w:numPr>
          <w:ilvl w:val="0"/>
          <w:numId w:val="2"/>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Las medidas de seguridad en las áreas y las condiciones generales, con protección hacia los trabajadores contra los riesgos para la salud que puedan ser consecuencia del mismo;</w:t>
      </w:r>
    </w:p>
    <w:p w14:paraId="0FD36336" w14:textId="77777777" w:rsidR="00C767B2" w:rsidRPr="00646913" w:rsidRDefault="00C767B2" w:rsidP="00C767B2">
      <w:pPr>
        <w:pStyle w:val="Prrafodelista"/>
        <w:numPr>
          <w:ilvl w:val="0"/>
          <w:numId w:val="2"/>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Evitar el hostigamiento sexual en el trabajo o la explotación de las mujeres, teniendo como ejemplo el servicio doméstico.</w:t>
      </w:r>
    </w:p>
    <w:p w14:paraId="3B91D2E1" w14:textId="7F3BDB44" w:rsidR="00C767B2" w:rsidRPr="00646913" w:rsidRDefault="00C767B2" w:rsidP="00C767B2">
      <w:pPr>
        <w:spacing w:line="360" w:lineRule="auto"/>
        <w:ind w:firstLine="708"/>
        <w:jc w:val="both"/>
      </w:pPr>
      <w:r w:rsidRPr="00646913">
        <w:t>De tal manera que, a través de políticas establecidas, sea posible realizar la detección y eliminar condiciones de trabajo que sean consideradas inconvenientes</w:t>
      </w:r>
      <w:r w:rsidR="006D5A8B">
        <w:t xml:space="preserve"> </w:t>
      </w:r>
      <w:sdt>
        <w:sdtPr>
          <w:id w:val="-553229239"/>
          <w:citation/>
        </w:sdtPr>
        <w:sdtEndPr/>
        <w:sdtContent>
          <w:r w:rsidR="006D5A8B">
            <w:fldChar w:fldCharType="begin"/>
          </w:r>
          <w:r w:rsidR="006D5A8B">
            <w:rPr>
              <w:lang w:val="es-MX"/>
            </w:rPr>
            <w:instrText xml:space="preserve"> CITATION Uni86 \l 2058 </w:instrText>
          </w:r>
          <w:r w:rsidR="006D5A8B">
            <w:fldChar w:fldCharType="separate"/>
          </w:r>
          <w:r w:rsidR="006D5A8B" w:rsidRPr="006D5A8B">
            <w:rPr>
              <w:noProof/>
              <w:lang w:val="es-MX"/>
            </w:rPr>
            <w:t>(United Nations, 1986)</w:t>
          </w:r>
          <w:r w:rsidR="006D5A8B">
            <w:fldChar w:fldCharType="end"/>
          </w:r>
        </w:sdtContent>
      </w:sdt>
      <w:r w:rsidRPr="00646913">
        <w:t xml:space="preserve">. </w:t>
      </w:r>
    </w:p>
    <w:p w14:paraId="6453C76B" w14:textId="2A687049" w:rsidR="00C767B2" w:rsidRPr="00646913" w:rsidRDefault="00C767B2" w:rsidP="00C767B2">
      <w:pPr>
        <w:spacing w:line="360" w:lineRule="auto"/>
        <w:ind w:firstLine="708"/>
        <w:jc w:val="both"/>
      </w:pPr>
      <w:r w:rsidRPr="00646913">
        <w:t>Se hace hincapié en generar condiciones de igualdad para el área laboral en cuanto a la remuneración y las oportunidades de contratación para las mujeres, así como contar con reglamentos para trabajos por contratación temporal o que no sea estructurado o se considere informal, ya que se cuenta con un incremento en el número de casos de mujere</w:t>
      </w:r>
      <w:r w:rsidR="006D5A8B">
        <w:t xml:space="preserve">s en esas condiciones </w:t>
      </w:r>
      <w:sdt>
        <w:sdtPr>
          <w:id w:val="-1887641675"/>
          <w:citation/>
        </w:sdtPr>
        <w:sdtEndPr/>
        <w:sdtContent>
          <w:r w:rsidR="006D5A8B">
            <w:fldChar w:fldCharType="begin"/>
          </w:r>
          <w:r w:rsidR="006D5A8B">
            <w:rPr>
              <w:lang w:val="es-MX"/>
            </w:rPr>
            <w:instrText xml:space="preserve"> CITATION Uni86 \l 2058 </w:instrText>
          </w:r>
          <w:r w:rsidR="006D5A8B">
            <w:fldChar w:fldCharType="separate"/>
          </w:r>
          <w:r w:rsidR="006D5A8B" w:rsidRPr="006D5A8B">
            <w:rPr>
              <w:noProof/>
              <w:lang w:val="es-MX"/>
            </w:rPr>
            <w:t>(United Nations, 1986)</w:t>
          </w:r>
          <w:r w:rsidR="006D5A8B">
            <w:fldChar w:fldCharType="end"/>
          </w:r>
        </w:sdtContent>
      </w:sdt>
      <w:r w:rsidRPr="00646913">
        <w:t>.</w:t>
      </w:r>
    </w:p>
    <w:p w14:paraId="7D165139" w14:textId="02B3C915" w:rsidR="00C767B2" w:rsidRPr="00646913" w:rsidRDefault="00C767B2" w:rsidP="00C767B2">
      <w:pPr>
        <w:spacing w:line="360" w:lineRule="auto"/>
        <w:ind w:firstLine="709"/>
        <w:jc w:val="both"/>
      </w:pPr>
      <w:r w:rsidRPr="00646913">
        <w:t xml:space="preserve">En beneficio de las mujeres y con el interés especial de dar seguimiento a los asuntos enfocados a la igualdad de género, las Naciones Unidas, en 1997 incorporan la perspectiva de </w:t>
      </w:r>
      <w:r w:rsidRPr="00646913">
        <w:lastRenderedPageBreak/>
        <w:t>género, ya que a través de la Subsecretaría General y Asesora Especial del Secretario General en Cuestiones de Género y Adelanto de la Mujer (OSAGI por sus siglas en inglés), tienen como objetivo la elaboración de políticas, investigación, promoción, diálogo, legislación, asignación de recursos y planificación, ejecución y supervisión de programas y proyectos. A partir de este momento, se incorpora el término “</w:t>
      </w:r>
      <w:proofErr w:type="spellStart"/>
      <w:r w:rsidRPr="00646913">
        <w:t>transversalización</w:t>
      </w:r>
      <w:proofErr w:type="spellEnd"/>
      <w:r w:rsidRPr="00646913">
        <w:t xml:space="preserve"> de género”, dando a conocer la importancia de la implicación que tienen las desigualdades entre hombres y mujeres; iniciando su aplicación en los departamentos de las Naciones Unidas por medio de una metodología y herramientas en diferentes sectores, por medio del desarrollo de competencias y recursos que trabajan con el entorno, incluyendo a los Estados Miembros, </w:t>
      </w:r>
      <w:proofErr w:type="spellStart"/>
      <w:r w:rsidRPr="00646913">
        <w:t>ONGs</w:t>
      </w:r>
      <w:proofErr w:type="spellEnd"/>
      <w:r w:rsidRPr="00646913">
        <w:t xml:space="preserve"> y académicos. Para dichas actividades se asigna un presupuesto específico a partir de 2002, determinado a cargo del Comité del Programa y de la Coordinación, involucrando a las mujeres en actividades que incrementaran la paz a nivel mundial, con colaboración del Departamento de Operación para el Mantenimiento de la Paz </w:t>
      </w:r>
      <w:sdt>
        <w:sdtPr>
          <w:id w:val="-1082129036"/>
          <w:citation/>
        </w:sdtPr>
        <w:sdtEndPr/>
        <w:sdtContent>
          <w:r w:rsidR="006D5A8B">
            <w:fldChar w:fldCharType="begin"/>
          </w:r>
          <w:r w:rsidR="006D5A8B">
            <w:rPr>
              <w:lang w:val="es-MX"/>
            </w:rPr>
            <w:instrText xml:space="preserve"> CITATION Uni01 \l 2058 </w:instrText>
          </w:r>
          <w:r w:rsidR="006D5A8B">
            <w:fldChar w:fldCharType="separate"/>
          </w:r>
          <w:r w:rsidR="006D5A8B" w:rsidRPr="006D5A8B">
            <w:rPr>
              <w:noProof/>
              <w:lang w:val="es-MX"/>
            </w:rPr>
            <w:t>(United Nations, 2001)</w:t>
          </w:r>
          <w:r w:rsidR="006D5A8B">
            <w:fldChar w:fldCharType="end"/>
          </w:r>
        </w:sdtContent>
      </w:sdt>
      <w:r w:rsidRPr="00646913">
        <w:t>.</w:t>
      </w:r>
    </w:p>
    <w:p w14:paraId="5C36F37D" w14:textId="33CE1105" w:rsidR="00C767B2" w:rsidRPr="00646913" w:rsidRDefault="00C767B2" w:rsidP="00C767B2">
      <w:pPr>
        <w:spacing w:line="360" w:lineRule="auto"/>
        <w:jc w:val="both"/>
      </w:pPr>
      <w:r w:rsidRPr="00646913">
        <w:tab/>
        <w:t xml:space="preserve">El análisis económico con relación a la igualdad de género se presenta por la UNIFEM, siendo que para el año 2000 dan a conocer que el gasto público dirigido a los programas para las mujeres es menos del 5%, lo cual se encuentra muy por debajo de lo establecido en la Plataforma de Acción de Beijing, que solicita a los gobiernos la integración de una perspectiva de género en el ámbito político y de programas, compromiso que aseguraría la equidad de acceso, con relación al ajuste del presupuesto. Es importante mencionar que la asignación del gasto público tendrá un impacto diferente por género, ya que depende de la situación social particular, considerando el caso del acceso a la educación en hombres y mujeres, lo cual dependerá de la cantidad de mujeres que sean matriculadas, por otro lado, los servicios sociales en servicios de saneamiento básico, se utilizarán por igual, independientemente del género </w:t>
      </w:r>
      <w:proofErr w:type="spellStart"/>
      <w:r w:rsidR="00017DD7" w:rsidRPr="00646913">
        <w:t>United</w:t>
      </w:r>
      <w:proofErr w:type="spellEnd"/>
      <w:r w:rsidR="00017DD7" w:rsidRPr="00646913">
        <w:t xml:space="preserve"> </w:t>
      </w:r>
      <w:proofErr w:type="spellStart"/>
      <w:r w:rsidR="00017DD7" w:rsidRPr="00646913">
        <w:t>Nati</w:t>
      </w:r>
      <w:r w:rsidR="00017DD7">
        <w:t>ons</w:t>
      </w:r>
      <w:proofErr w:type="spellEnd"/>
      <w:r w:rsidR="00017DD7">
        <w:t xml:space="preserve"> </w:t>
      </w:r>
      <w:proofErr w:type="spellStart"/>
      <w:r w:rsidR="00017DD7">
        <w:t>Development</w:t>
      </w:r>
      <w:proofErr w:type="spellEnd"/>
      <w:r w:rsidR="00017DD7">
        <w:t xml:space="preserve"> </w:t>
      </w:r>
      <w:proofErr w:type="spellStart"/>
      <w:r w:rsidR="00017DD7">
        <w:t>Found</w:t>
      </w:r>
      <w:proofErr w:type="spellEnd"/>
      <w:r w:rsidR="00017DD7">
        <w:t xml:space="preserve"> </w:t>
      </w:r>
      <w:proofErr w:type="spellStart"/>
      <w:r w:rsidR="00017DD7">
        <w:t>for</w:t>
      </w:r>
      <w:proofErr w:type="spellEnd"/>
      <w:r w:rsidR="00017DD7">
        <w:t xml:space="preserve"> </w:t>
      </w:r>
      <w:proofErr w:type="spellStart"/>
      <w:r w:rsidR="00017DD7">
        <w:t>Women</w:t>
      </w:r>
      <w:proofErr w:type="spellEnd"/>
      <w:r w:rsidR="00017DD7" w:rsidRPr="00646913">
        <w:t>.</w:t>
      </w:r>
      <w:r w:rsidR="00017DD7">
        <w:t xml:space="preserve"> </w:t>
      </w:r>
      <w:sdt>
        <w:sdtPr>
          <w:id w:val="-1820029064"/>
          <w:citation/>
        </w:sdtPr>
        <w:sdtEndPr/>
        <w:sdtContent>
          <w:r w:rsidR="00017DD7">
            <w:fldChar w:fldCharType="begin"/>
          </w:r>
          <w:r w:rsidR="00017DD7">
            <w:rPr>
              <w:lang w:val="es-MX"/>
            </w:rPr>
            <w:instrText xml:space="preserve"> CITATION UNI00 \l 2058 </w:instrText>
          </w:r>
          <w:r w:rsidR="00017DD7">
            <w:fldChar w:fldCharType="separate"/>
          </w:r>
          <w:r w:rsidR="00017DD7" w:rsidRPr="00017DD7">
            <w:rPr>
              <w:noProof/>
              <w:lang w:val="es-MX"/>
            </w:rPr>
            <w:t>(UNIFEM, 2000)</w:t>
          </w:r>
          <w:r w:rsidR="00017DD7">
            <w:fldChar w:fldCharType="end"/>
          </w:r>
        </w:sdtContent>
      </w:sdt>
    </w:p>
    <w:p w14:paraId="4327DEF2" w14:textId="0E31CF92" w:rsidR="00C767B2" w:rsidRPr="00646913" w:rsidRDefault="00C767B2" w:rsidP="00C767B2">
      <w:pPr>
        <w:spacing w:line="360" w:lineRule="auto"/>
        <w:jc w:val="both"/>
      </w:pPr>
      <w:r w:rsidRPr="00646913">
        <w:tab/>
        <w:t xml:space="preserve">El mismo año, en Nueva York, la Asamblea General de las Naciones Unidas aprueba la Declaración del Milenio, con un enfoque al apego de los principios de la Carta de las Naciones Unidas, con relación a los derechos humanos universales, considerando que, para las relaciones internacionales en el siglo XXI, la igualdad de derechos y oportunidades de hombres y mujeres, brindará la posibilidad a las naciones para beneficiarse del desarrollo, haciendo énfasis en la eliminación de todas las formas de violencia contra la mujer, así como lograr procesos políticos </w:t>
      </w:r>
      <w:r w:rsidRPr="00646913">
        <w:lastRenderedPageBreak/>
        <w:t xml:space="preserve">más igualitarios que involucren la participación ciudadana (Comisión Económica para América Latina </w:t>
      </w:r>
      <w:sdt>
        <w:sdtPr>
          <w:id w:val="-1937128405"/>
          <w:citation/>
        </w:sdtPr>
        <w:sdtEndPr/>
        <w:sdtContent>
          <w:r w:rsidR="00017DD7">
            <w:fldChar w:fldCharType="begin"/>
          </w:r>
          <w:r w:rsidR="00017DD7">
            <w:rPr>
              <w:lang w:val="es-MX"/>
            </w:rPr>
            <w:instrText xml:space="preserve"> CITATION CEP07 \l 2058 </w:instrText>
          </w:r>
          <w:r w:rsidR="00017DD7">
            <w:fldChar w:fldCharType="separate"/>
          </w:r>
          <w:r w:rsidR="00017DD7" w:rsidRPr="00017DD7">
            <w:rPr>
              <w:noProof/>
              <w:lang w:val="es-MX"/>
            </w:rPr>
            <w:t>(CEPAL, 2007)</w:t>
          </w:r>
          <w:r w:rsidR="00017DD7">
            <w:fldChar w:fldCharType="end"/>
          </w:r>
        </w:sdtContent>
      </w:sdt>
      <w:r w:rsidRPr="00646913">
        <w:t>)</w:t>
      </w:r>
    </w:p>
    <w:p w14:paraId="6BA0D044" w14:textId="77777777" w:rsidR="00C767B2" w:rsidRPr="00646913" w:rsidRDefault="00C767B2" w:rsidP="00C767B2">
      <w:pPr>
        <w:spacing w:line="360" w:lineRule="auto"/>
        <w:ind w:firstLine="360"/>
        <w:jc w:val="both"/>
      </w:pPr>
      <w:r w:rsidRPr="00646913">
        <w:t xml:space="preserve">Dicho foro da a conocer los “Objetivos de Desarrollo del Milenio” (ODM), estableciendo estrategias a nivel mundial, lo cual deberá ser analizado en un período de 15 años (2000-2015), comprendiendo 8 objetivos: </w:t>
      </w:r>
    </w:p>
    <w:p w14:paraId="13629F31"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Objetivo 1: Erradicar la pobreza extrema y el hambre;</w:t>
      </w:r>
    </w:p>
    <w:p w14:paraId="4981D039"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Objetivo 2: Lograr la enseñanza primaria universal;</w:t>
      </w:r>
    </w:p>
    <w:p w14:paraId="141E081B"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Objetivo 3: Promover la igualdad de género y el empoderamiento de la mujer;</w:t>
      </w:r>
    </w:p>
    <w:p w14:paraId="5F29AEC7"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 xml:space="preserve">Objetivo 4: Reducir la mortalidad de los niños menores de 5 años; </w:t>
      </w:r>
    </w:p>
    <w:p w14:paraId="5D22E042"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Objetivo 5: Mejorar la salud materna;</w:t>
      </w:r>
    </w:p>
    <w:p w14:paraId="1E022742"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Objetivo 6: Combatir el VIH/Sida, el paludismo y otras enfermedades;</w:t>
      </w:r>
    </w:p>
    <w:p w14:paraId="53A8DC4D"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Objetivo 7: Garantizar la sostenibilidad del medio ambiente; y</w:t>
      </w:r>
    </w:p>
    <w:p w14:paraId="10186133" w14:textId="77777777" w:rsidR="00C767B2" w:rsidRPr="00646913" w:rsidRDefault="00C767B2" w:rsidP="00C767B2">
      <w:pPr>
        <w:pStyle w:val="Prrafodelista"/>
        <w:numPr>
          <w:ilvl w:val="0"/>
          <w:numId w:val="3"/>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 xml:space="preserve">Objetivo 8: Fomentar una alianza mundial para el desarrollo. </w:t>
      </w:r>
    </w:p>
    <w:p w14:paraId="1255923C" w14:textId="2C4EC383" w:rsidR="00C767B2" w:rsidRPr="00646913" w:rsidRDefault="00C767B2" w:rsidP="00C767B2">
      <w:pPr>
        <w:spacing w:line="360" w:lineRule="auto"/>
        <w:ind w:firstLine="360"/>
        <w:jc w:val="both"/>
      </w:pPr>
      <w:r w:rsidRPr="00646913">
        <w:t xml:space="preserve">Específicamente para el objetivo de promover la igualdad de género y el empoderamiento de la mujer, se establece la meta 4, relacionada a eliminar las desigualdades entre los géneros y en la enseñanza primaria y secundaria, preferiblemente para el año 2005, y en todos los niveles de enseñanza antes de fines de 2015, la cual se relaciona directamente al objetivo 2, haciendo referencia a lograr la enseñanza primaria </w:t>
      </w:r>
      <w:r w:rsidR="009177CD">
        <w:t>universal</w:t>
      </w:r>
      <w:r w:rsidR="009177CD">
        <w:rPr>
          <w:color w:val="FF0000"/>
        </w:rPr>
        <w:t xml:space="preserve"> </w:t>
      </w:r>
      <w:sdt>
        <w:sdtPr>
          <w:id w:val="2124424306"/>
          <w:citation/>
        </w:sdtPr>
        <w:sdtEndPr/>
        <w:sdtContent>
          <w:r w:rsidR="009177CD" w:rsidRPr="009177CD">
            <w:fldChar w:fldCharType="begin"/>
          </w:r>
          <w:r w:rsidR="009177CD" w:rsidRPr="009177CD">
            <w:rPr>
              <w:lang w:val="es-MX"/>
            </w:rPr>
            <w:instrText xml:space="preserve"> CITATION Nac15 \l 2058 </w:instrText>
          </w:r>
          <w:r w:rsidR="009177CD" w:rsidRPr="009177CD">
            <w:fldChar w:fldCharType="separate"/>
          </w:r>
          <w:r w:rsidR="009177CD" w:rsidRPr="009177CD">
            <w:rPr>
              <w:noProof/>
              <w:lang w:val="es-MX"/>
            </w:rPr>
            <w:t>(Naciones Unidas, 2015)</w:t>
          </w:r>
          <w:r w:rsidR="009177CD" w:rsidRPr="009177CD">
            <w:fldChar w:fldCharType="end"/>
          </w:r>
        </w:sdtContent>
      </w:sdt>
      <w:r w:rsidR="009177CD" w:rsidRPr="009177CD">
        <w:t>.</w:t>
      </w:r>
    </w:p>
    <w:p w14:paraId="77D7BDD1" w14:textId="1EFBFE22" w:rsidR="00C767B2" w:rsidRPr="00646913" w:rsidRDefault="00C767B2" w:rsidP="00C767B2">
      <w:pPr>
        <w:spacing w:line="360" w:lineRule="auto"/>
        <w:ind w:firstLine="360"/>
        <w:jc w:val="both"/>
      </w:pPr>
      <w:r w:rsidRPr="00646913">
        <w:t>Como se ha mencionado anteriormente, la base para lograr el cumplimiento de los Objetivos del Desarrollo del Milenio, será establecer una política internacional específica para países desarrollados y los que se encuentran en desarrollo, movilizando los recursos financieros, siendo una de las principales medidas que se mencionan en la Conferencia Internacional sobre la Financiación para el Desarrollo, celebrada del 18 al 22 de marzo de 2002 en Monterrey, México.</w:t>
      </w:r>
      <w:r w:rsidR="00B309EC">
        <w:t xml:space="preserve"> </w:t>
      </w:r>
      <w:sdt>
        <w:sdtPr>
          <w:id w:val="1603909998"/>
          <w:citation/>
        </w:sdtPr>
        <w:sdtEndPr/>
        <w:sdtContent>
          <w:r w:rsidR="00B309EC">
            <w:fldChar w:fldCharType="begin"/>
          </w:r>
          <w:r w:rsidR="00B309EC">
            <w:rPr>
              <w:lang w:val="es-MX"/>
            </w:rPr>
            <w:instrText xml:space="preserve"> CITATION Uni02 \l 2058 </w:instrText>
          </w:r>
          <w:r w:rsidR="00B309EC">
            <w:fldChar w:fldCharType="separate"/>
          </w:r>
          <w:r w:rsidR="00B309EC" w:rsidRPr="00B309EC">
            <w:rPr>
              <w:noProof/>
              <w:lang w:val="es-MX"/>
            </w:rPr>
            <w:t>(United Nations, 2002)</w:t>
          </w:r>
          <w:r w:rsidR="00B309EC">
            <w:fldChar w:fldCharType="end"/>
          </w:r>
        </w:sdtContent>
      </w:sdt>
      <w:r w:rsidR="00B309EC">
        <w:t>.</w:t>
      </w:r>
    </w:p>
    <w:p w14:paraId="2A99F9B5" w14:textId="2E9D7EDA" w:rsidR="00C767B2" w:rsidRPr="00646913" w:rsidRDefault="00C767B2" w:rsidP="00C767B2">
      <w:pPr>
        <w:spacing w:line="360" w:lineRule="auto"/>
        <w:jc w:val="both"/>
      </w:pPr>
      <w:r w:rsidRPr="00646913">
        <w:tab/>
        <w:t xml:space="preserve">La Asistencia Oficial para el Desarrollo (AOD) es uno de los componentes principales para el financiamiento en países con limitado apoyo a través de inversiones privadas, participando en el fortalecimiento de la educación, la salud, el desarrollo de la infraestructura pública, la agricultura, el desarrollo rural y el aumento de la seguridad alimentaria, lo que </w:t>
      </w:r>
      <w:r w:rsidRPr="00646913">
        <w:lastRenderedPageBreak/>
        <w:t xml:space="preserve">constituye un pilar fundamental para alcanzar las metas y los objetivos mencionados en la Declaración del Milenio. </w:t>
      </w:r>
      <w:sdt>
        <w:sdtPr>
          <w:id w:val="-1068026161"/>
          <w:citation/>
        </w:sdtPr>
        <w:sdtEndPr/>
        <w:sdtContent>
          <w:r w:rsidR="00B309EC">
            <w:fldChar w:fldCharType="begin"/>
          </w:r>
          <w:r w:rsidR="00B309EC">
            <w:rPr>
              <w:lang w:val="es-MX"/>
            </w:rPr>
            <w:instrText xml:space="preserve"> CITATION Uni02 \l 2058 </w:instrText>
          </w:r>
          <w:r w:rsidR="00B309EC">
            <w:fldChar w:fldCharType="separate"/>
          </w:r>
          <w:r w:rsidR="00B309EC" w:rsidRPr="00B309EC">
            <w:rPr>
              <w:noProof/>
              <w:lang w:val="es-MX"/>
            </w:rPr>
            <w:t>(United Nations, 2002)</w:t>
          </w:r>
          <w:r w:rsidR="00B309EC">
            <w:fldChar w:fldCharType="end"/>
          </w:r>
        </w:sdtContent>
      </w:sdt>
      <w:r w:rsidRPr="00646913">
        <w:t>.</w:t>
      </w:r>
    </w:p>
    <w:p w14:paraId="700D551D" w14:textId="45B8DC5B" w:rsidR="00C767B2" w:rsidRPr="00646913" w:rsidRDefault="00C767B2" w:rsidP="00C767B2">
      <w:pPr>
        <w:spacing w:line="360" w:lineRule="auto"/>
        <w:jc w:val="both"/>
      </w:pPr>
      <w:r w:rsidRPr="00646913">
        <w:tab/>
        <w:t>Tras 10 años de la formulación de los ODM, se realiza un análisis del avance alcanzado con relación a la equidad de género, mostrándose el incremento de las oportunidades para las mujeres en empleos más vulnerables, sin embargo, los puestos de mayor rango reportan que solo el 37% de ellos fueron ocupados por mujeres. Se observa una evidente inequidad en el área política, ya que se incrementa del 11% al 18% la oportunidad de que las mujeres se posicionen en cargos políticos a nivel mundial. Lo anterior representa una limitación para su desarrollo profesional, teniendo un impacto directamente en los niveles de satisfacción y la independencia, de manera que, al alcanzarse un alto grado de equidad a nivel laboral, se podrán aprovechar las habilidades de las mujeres para la organización y liderazgo en las empresas, favoreciendo una vida mejor pa</w:t>
      </w:r>
      <w:r w:rsidR="009E0658">
        <w:t xml:space="preserve">ra ellas y sus familias </w:t>
      </w:r>
      <w:sdt>
        <w:sdtPr>
          <w:id w:val="-728150941"/>
          <w:citation/>
        </w:sdtPr>
        <w:sdtEndPr/>
        <w:sdtContent>
          <w:r w:rsidR="00B309EC">
            <w:fldChar w:fldCharType="begin"/>
          </w:r>
          <w:r w:rsidR="00B309EC">
            <w:rPr>
              <w:lang w:val="es-MX"/>
            </w:rPr>
            <w:instrText xml:space="preserve"> CITATION Jim11 \l 2058 </w:instrText>
          </w:r>
          <w:r w:rsidR="00B309EC">
            <w:fldChar w:fldCharType="separate"/>
          </w:r>
          <w:r w:rsidR="00B309EC">
            <w:rPr>
              <w:noProof/>
              <w:lang w:val="es-MX"/>
            </w:rPr>
            <w:t xml:space="preserve"> </w:t>
          </w:r>
          <w:r w:rsidR="00B309EC" w:rsidRPr="00B309EC">
            <w:rPr>
              <w:noProof/>
              <w:lang w:val="es-MX"/>
            </w:rPr>
            <w:t>(Jiménez &amp; Praga, 2011)</w:t>
          </w:r>
          <w:r w:rsidR="00B309EC">
            <w:fldChar w:fldCharType="end"/>
          </w:r>
        </w:sdtContent>
      </w:sdt>
      <w:r w:rsidR="009E0658">
        <w:t>.</w:t>
      </w:r>
    </w:p>
    <w:p w14:paraId="4A873ADC" w14:textId="77777777" w:rsidR="00C767B2" w:rsidRPr="00646913" w:rsidRDefault="00C767B2" w:rsidP="00C767B2">
      <w:pPr>
        <w:spacing w:line="360" w:lineRule="auto"/>
        <w:jc w:val="both"/>
      </w:pPr>
      <w:r w:rsidRPr="00646913">
        <w:tab/>
        <w:t xml:space="preserve">Finalmente, se genera el informe para el 2015 de los ODM por las Naciones Unidas, haciendo referencia al avance para la igualdad de género, especificando: </w:t>
      </w:r>
    </w:p>
    <w:p w14:paraId="40E9F78B" w14:textId="77777777" w:rsidR="00C767B2" w:rsidRPr="00646913" w:rsidRDefault="00C767B2" w:rsidP="00C767B2">
      <w:pPr>
        <w:pStyle w:val="Prrafodelista"/>
        <w:numPr>
          <w:ilvl w:val="0"/>
          <w:numId w:val="4"/>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Incremento en el registro a escuela primaria para las mujeres, 74 niñas por cada 100 niños en 1990, siendo que para 2015 se registran 103 por cada 100.</w:t>
      </w:r>
    </w:p>
    <w:p w14:paraId="6ACA5F5E" w14:textId="77777777" w:rsidR="00C767B2" w:rsidRPr="00646913" w:rsidRDefault="00C767B2" w:rsidP="00C767B2">
      <w:pPr>
        <w:pStyle w:val="Prrafodelista"/>
        <w:numPr>
          <w:ilvl w:val="0"/>
          <w:numId w:val="4"/>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 xml:space="preserve">En sectores no agrícolas, se reporta que el 41% de los trabajadores remunerados son mujeres en 2015, comparado con el 35% de 1990. </w:t>
      </w:r>
    </w:p>
    <w:p w14:paraId="70B98B1D" w14:textId="77777777" w:rsidR="00C767B2" w:rsidRPr="00646913" w:rsidRDefault="00C767B2" w:rsidP="00C767B2">
      <w:pPr>
        <w:pStyle w:val="Prrafodelista"/>
        <w:numPr>
          <w:ilvl w:val="0"/>
          <w:numId w:val="4"/>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 xml:space="preserve">Entre 1991 y 2015, ha disminuido un 13% el porcentaje de mujeres con empleos vulnerables. </w:t>
      </w:r>
    </w:p>
    <w:p w14:paraId="191ABC04" w14:textId="14937F10" w:rsidR="00C767B2" w:rsidRPr="009177CD" w:rsidRDefault="00C767B2" w:rsidP="00C767B2">
      <w:pPr>
        <w:pStyle w:val="Prrafodelista"/>
        <w:numPr>
          <w:ilvl w:val="0"/>
          <w:numId w:val="4"/>
        </w:numPr>
        <w:spacing w:after="160" w:line="360" w:lineRule="auto"/>
        <w:contextualSpacing/>
        <w:jc w:val="both"/>
        <w:rPr>
          <w:rFonts w:ascii="Times New Roman" w:hAnsi="Times New Roman" w:cs="Times New Roman"/>
          <w:sz w:val="24"/>
          <w:szCs w:val="24"/>
        </w:rPr>
      </w:pPr>
      <w:r w:rsidRPr="00646913">
        <w:rPr>
          <w:rFonts w:ascii="Times New Roman" w:hAnsi="Times New Roman" w:cs="Times New Roman"/>
          <w:sz w:val="24"/>
          <w:szCs w:val="24"/>
        </w:rPr>
        <w:t>con relación a los cargos políticos, aumenta en casi el 90% de los 174 países que reportan resultados, siendo que la proporción ha aumentado, sin embargo, solo 1 de cada 5 miembros de puestos parlament</w:t>
      </w:r>
      <w:r w:rsidR="009177CD">
        <w:rPr>
          <w:rFonts w:ascii="Times New Roman" w:hAnsi="Times New Roman" w:cs="Times New Roman"/>
          <w:sz w:val="24"/>
          <w:szCs w:val="24"/>
        </w:rPr>
        <w:t>arios, son ocupados por mujeres</w:t>
      </w:r>
      <w:r w:rsidR="009177CD">
        <w:rPr>
          <w:rFonts w:ascii="Times New Roman" w:hAnsi="Times New Roman" w:cs="Times New Roman"/>
          <w:color w:val="FF0000"/>
          <w:sz w:val="24"/>
          <w:szCs w:val="24"/>
        </w:rPr>
        <w:t xml:space="preserve"> </w:t>
      </w:r>
      <w:sdt>
        <w:sdtPr>
          <w:rPr>
            <w:rFonts w:ascii="Times New Roman" w:hAnsi="Times New Roman" w:cs="Times New Roman"/>
            <w:sz w:val="24"/>
            <w:szCs w:val="24"/>
          </w:rPr>
          <w:id w:val="-1724520019"/>
          <w:citation/>
        </w:sdtPr>
        <w:sdtEndPr/>
        <w:sdtContent>
          <w:r w:rsidR="009177CD" w:rsidRPr="009177CD">
            <w:rPr>
              <w:rFonts w:ascii="Times New Roman" w:hAnsi="Times New Roman" w:cs="Times New Roman"/>
              <w:sz w:val="24"/>
              <w:szCs w:val="24"/>
            </w:rPr>
            <w:fldChar w:fldCharType="begin"/>
          </w:r>
          <w:r w:rsidR="009177CD" w:rsidRPr="009177CD">
            <w:rPr>
              <w:rFonts w:ascii="Times New Roman" w:hAnsi="Times New Roman" w:cs="Times New Roman"/>
              <w:sz w:val="24"/>
              <w:szCs w:val="24"/>
            </w:rPr>
            <w:instrText xml:space="preserve"> CITATION Nac15 \l 2058 </w:instrText>
          </w:r>
          <w:r w:rsidR="009177CD" w:rsidRPr="009177CD">
            <w:rPr>
              <w:rFonts w:ascii="Times New Roman" w:hAnsi="Times New Roman" w:cs="Times New Roman"/>
              <w:sz w:val="24"/>
              <w:szCs w:val="24"/>
            </w:rPr>
            <w:fldChar w:fldCharType="separate"/>
          </w:r>
          <w:r w:rsidR="009177CD" w:rsidRPr="009177CD">
            <w:rPr>
              <w:rFonts w:ascii="Times New Roman" w:hAnsi="Times New Roman" w:cs="Times New Roman"/>
              <w:noProof/>
              <w:sz w:val="24"/>
              <w:szCs w:val="24"/>
            </w:rPr>
            <w:t>(Naciones Unidas, 2015)</w:t>
          </w:r>
          <w:r w:rsidR="009177CD" w:rsidRPr="009177CD">
            <w:rPr>
              <w:rFonts w:ascii="Times New Roman" w:hAnsi="Times New Roman" w:cs="Times New Roman"/>
              <w:sz w:val="24"/>
              <w:szCs w:val="24"/>
            </w:rPr>
            <w:fldChar w:fldCharType="end"/>
          </w:r>
        </w:sdtContent>
      </w:sdt>
      <w:r w:rsidR="009177CD" w:rsidRPr="009177CD">
        <w:rPr>
          <w:rFonts w:ascii="Times New Roman" w:hAnsi="Times New Roman" w:cs="Times New Roman"/>
          <w:sz w:val="24"/>
          <w:szCs w:val="24"/>
        </w:rPr>
        <w:t>.</w:t>
      </w:r>
    </w:p>
    <w:p w14:paraId="31ABAF42" w14:textId="77777777" w:rsidR="00C767B2" w:rsidRPr="00646913" w:rsidRDefault="00C767B2" w:rsidP="00C767B2">
      <w:pPr>
        <w:spacing w:line="360" w:lineRule="auto"/>
        <w:jc w:val="both"/>
      </w:pPr>
      <w:r w:rsidRPr="00646913">
        <w:tab/>
        <w:t xml:space="preserve">A pesar de los avances mostrados, las mujeres siguen en desventaja en el tema de la equidad, siendo discriminadas para lograr el acceso en el área laboral, los bienes económicos y la participación en la toma de decisiones privadas y públicas, lo que conlleva a un mayor riesgo de vivir en la pobreza, comparada con los hombres, específicamente en América Latina y el Caribe. Se estima que las mujeres perciben 24% menos ingresos que los hombres, además de </w:t>
      </w:r>
      <w:r w:rsidRPr="00646913">
        <w:lastRenderedPageBreak/>
        <w:t xml:space="preserve">que la tasa de desempleo es mayor en las mujeres con educación avanzada, lo que demuestra que es indispensable garantizar estrategias para eliminar la desigualdad de género </w:t>
      </w:r>
      <w:r w:rsidRPr="009E0658">
        <w:rPr>
          <w:color w:val="FF0000"/>
        </w:rPr>
        <w:t>(UN, 2015a).</w:t>
      </w:r>
    </w:p>
    <w:p w14:paraId="226F4D99" w14:textId="5AFA88E6" w:rsidR="00C767B2" w:rsidRPr="00646913" w:rsidRDefault="00C767B2" w:rsidP="00C767B2">
      <w:pPr>
        <w:spacing w:line="360" w:lineRule="auto"/>
        <w:ind w:firstLine="709"/>
        <w:jc w:val="both"/>
      </w:pPr>
      <w:r w:rsidRPr="00646913">
        <w:t>De manera histórica se ha observado que el trabajo humano conlleva un riesgo a la salud física, psicológica y mental, considerando que, durante muchos años se realizaba con carencias en la protección, con poco valor y con ello se derivaban problemas a los trabajadores. Lo anterior ha cambiado con la aparición del sindicalismo, el reconocimiento de los derechos humanos y la mejora en los procesos de producción empresarial, de manera que es posible mejorar las condiciones laborales, con una evidente disminución en la morbilidad por enfermedades y accidentes laborales, estableciéndose de manera formal en el concepto de salud laboral, ya que deja de ser un problema individual y actualmente es considerado un problema social, empresarial, convirtiéndose en un derecho del trabajador</w:t>
      </w:r>
      <w:sdt>
        <w:sdtPr>
          <w:id w:val="2018885577"/>
          <w:citation/>
        </w:sdtPr>
        <w:sdtEndPr/>
        <w:sdtContent>
          <w:r w:rsidR="009E0658">
            <w:fldChar w:fldCharType="begin"/>
          </w:r>
          <w:r w:rsidR="009E0658">
            <w:rPr>
              <w:lang w:val="es-MX"/>
            </w:rPr>
            <w:instrText xml:space="preserve"> CITATION Mor11 \l 2058 </w:instrText>
          </w:r>
          <w:r w:rsidR="009E0658">
            <w:fldChar w:fldCharType="separate"/>
          </w:r>
          <w:r w:rsidR="009E0658">
            <w:rPr>
              <w:noProof/>
              <w:lang w:val="es-MX"/>
            </w:rPr>
            <w:t xml:space="preserve"> </w:t>
          </w:r>
          <w:r w:rsidR="009E0658" w:rsidRPr="009E0658">
            <w:rPr>
              <w:noProof/>
              <w:lang w:val="es-MX"/>
            </w:rPr>
            <w:t>(Moreno, 2011)</w:t>
          </w:r>
          <w:r w:rsidR="009E0658">
            <w:fldChar w:fldCharType="end"/>
          </w:r>
        </w:sdtContent>
      </w:sdt>
      <w:r w:rsidR="009E0658">
        <w:t>.</w:t>
      </w:r>
    </w:p>
    <w:p w14:paraId="23009929" w14:textId="73622D74" w:rsidR="00C767B2" w:rsidRPr="00646913" w:rsidRDefault="00C767B2" w:rsidP="00C767B2">
      <w:pPr>
        <w:spacing w:line="360" w:lineRule="auto"/>
        <w:ind w:left="708" w:firstLine="1"/>
        <w:jc w:val="both"/>
      </w:pPr>
      <w:r w:rsidRPr="00646913">
        <w:t>Una de las principales causas del estrés o fatiga es el acoso, producido por acciones que tienen como finalidad violentar los derechos de los afectados, con alteración de condiciones sociales, económicas y culturales, generando un impacto negativo en la sociedad ya que llega a convertirse en una actitud negativa repetitiva o cotidiana, llevada a cabo por comportamientos hostiles dirigidos a uno o varios individuos, con la finalidad de desprestigiar, humillar o en casos severos se logra el abandono del puesto de trabajo, generando una afección directa en el ambiente físico, clima laboral, las habilidades de la víctima para su desempeño laboral se ven limitadas, con un consecuente daño</w:t>
      </w:r>
      <w:r w:rsidR="00102CB8">
        <w:t xml:space="preserve"> laboral y social</w:t>
      </w:r>
      <w:r w:rsidR="009E0658">
        <w:t xml:space="preserve"> </w:t>
      </w:r>
      <w:sdt>
        <w:sdtPr>
          <w:id w:val="-1001422506"/>
          <w:citation/>
        </w:sdtPr>
        <w:sdtEndPr/>
        <w:sdtContent>
          <w:r w:rsidR="009E0658">
            <w:fldChar w:fldCharType="begin"/>
          </w:r>
          <w:r w:rsidR="009E0658">
            <w:rPr>
              <w:lang w:val="es-MX"/>
            </w:rPr>
            <w:instrText xml:space="preserve"> CITATION Flo22 \l 2058 </w:instrText>
          </w:r>
          <w:r w:rsidR="009E0658">
            <w:fldChar w:fldCharType="separate"/>
          </w:r>
          <w:r w:rsidR="009E0658" w:rsidRPr="009E0658">
            <w:rPr>
              <w:noProof/>
              <w:lang w:val="es-MX"/>
            </w:rPr>
            <w:t>(Flores &amp; Velasco, 2022)</w:t>
          </w:r>
          <w:r w:rsidR="009E0658">
            <w:fldChar w:fldCharType="end"/>
          </w:r>
        </w:sdtContent>
      </w:sdt>
      <w:r w:rsidR="00102CB8">
        <w:t>.</w:t>
      </w:r>
    </w:p>
    <w:p w14:paraId="690084AC" w14:textId="7589B84E" w:rsidR="00C767B2" w:rsidRPr="00646913" w:rsidRDefault="00C767B2" w:rsidP="00C767B2">
      <w:pPr>
        <w:spacing w:line="360" w:lineRule="auto"/>
        <w:ind w:firstLine="709"/>
        <w:jc w:val="both"/>
      </w:pPr>
      <w:r w:rsidRPr="00646913">
        <w:t>Los países desarrollados incorporados a la Organización para la Cooperación y el Desarrollo Económicos (OCDE) han mostrado un avance palpable en las condiciones laborales, sin embargo, esto no se observa en su totalidad, ya que continúan prácticas laborales insalubres e inadecuadas, por lo que la ILO desarrolla el concepto de “trabajo decente”, refiriéndose al contexto laboral mínimo para que la población se desarrolle, incluyendo el derecho a la salud y el derecho so</w:t>
      </w:r>
      <w:r w:rsidR="00102CB8">
        <w:t xml:space="preserve">cial en el trabajo </w:t>
      </w:r>
      <w:sdt>
        <w:sdtPr>
          <w:id w:val="124207876"/>
          <w:citation/>
        </w:sdtPr>
        <w:sdtEndPr/>
        <w:sdtContent>
          <w:r w:rsidR="00102CB8">
            <w:fldChar w:fldCharType="begin"/>
          </w:r>
          <w:r w:rsidR="00102CB8">
            <w:rPr>
              <w:lang w:val="es-MX"/>
            </w:rPr>
            <w:instrText xml:space="preserve"> CITATION Mor11 \l 2058 </w:instrText>
          </w:r>
          <w:r w:rsidR="00102CB8">
            <w:fldChar w:fldCharType="separate"/>
          </w:r>
          <w:r w:rsidR="00102CB8" w:rsidRPr="00102CB8">
            <w:rPr>
              <w:noProof/>
              <w:lang w:val="es-MX"/>
            </w:rPr>
            <w:t>(Moreno, 2011)</w:t>
          </w:r>
          <w:r w:rsidR="00102CB8">
            <w:fldChar w:fldCharType="end"/>
          </w:r>
        </w:sdtContent>
      </w:sdt>
      <w:r w:rsidRPr="00646913">
        <w:t>.</w:t>
      </w:r>
    </w:p>
    <w:p w14:paraId="53EE9EF6" w14:textId="3C43EB9C" w:rsidR="00C767B2" w:rsidRPr="00646913" w:rsidRDefault="00C767B2" w:rsidP="00C767B2">
      <w:pPr>
        <w:spacing w:line="360" w:lineRule="auto"/>
        <w:ind w:firstLine="709"/>
        <w:jc w:val="both"/>
      </w:pPr>
      <w:r w:rsidRPr="00646913">
        <w:t xml:space="preserve">Los factores psicosociales de riesgo en el trabajo se mencionan en referencias oficiales en 1984, documento publicado por la ILO, siendo complejos de definirlos, ya que son un conjunto de percepciones y experiencias de los trabajadores que abarcan muchos aspectos, donde se incluye la sobrecarga de trabajo, falta de control, conflictos con la autoridad, </w:t>
      </w:r>
      <w:r w:rsidRPr="00646913">
        <w:lastRenderedPageBreak/>
        <w:t>desigualdad en los salarios, limitada seguridad en el trabajo, problemas en las relaciones labores y el trabajo por turnos, de manera que se presenta un impacto positivo o negativo en la conducta de los trabajadores, con afección en la salud física y psicológica</w:t>
      </w:r>
      <w:r w:rsidR="00102CB8">
        <w:t xml:space="preserve"> </w:t>
      </w:r>
      <w:sdt>
        <w:sdtPr>
          <w:id w:val="1886063994"/>
          <w:citation/>
        </w:sdtPr>
        <w:sdtEndPr/>
        <w:sdtContent>
          <w:r w:rsidR="00102CB8">
            <w:fldChar w:fldCharType="begin"/>
          </w:r>
          <w:r w:rsidR="00102CB8">
            <w:rPr>
              <w:lang w:val="es-MX"/>
            </w:rPr>
            <w:instrText xml:space="preserve"> CITATION Mor11 \l 2058 </w:instrText>
          </w:r>
          <w:r w:rsidR="00102CB8">
            <w:fldChar w:fldCharType="separate"/>
          </w:r>
          <w:r w:rsidR="00102CB8" w:rsidRPr="00102CB8">
            <w:rPr>
              <w:noProof/>
              <w:lang w:val="es-MX"/>
            </w:rPr>
            <w:t>(Moreno, 2011)</w:t>
          </w:r>
          <w:r w:rsidR="00102CB8">
            <w:fldChar w:fldCharType="end"/>
          </w:r>
        </w:sdtContent>
      </w:sdt>
      <w:r w:rsidRPr="00646913">
        <w:t>.</w:t>
      </w:r>
    </w:p>
    <w:p w14:paraId="04553377" w14:textId="347D5223" w:rsidR="00C767B2" w:rsidRPr="00646913" w:rsidRDefault="00C767B2" w:rsidP="00C767B2">
      <w:pPr>
        <w:spacing w:line="360" w:lineRule="auto"/>
        <w:ind w:firstLine="709"/>
        <w:jc w:val="both"/>
      </w:pPr>
      <w:r w:rsidRPr="00646913">
        <w:t xml:space="preserve">El acoso como definición, fue abordado en sus inicios por Konrad Lorenz en 1966, haciendo referencia en su libro “Sobre la agresión”, teniendo como referencia el acoso moral entre aves y animales, mostrando que la debilidad de una especie como característica lo hace vulnerable para ser agredido por el más fuerte, utilizando el verbo en inglés “to </w:t>
      </w:r>
      <w:proofErr w:type="spellStart"/>
      <w:r w:rsidRPr="00646913">
        <w:t>mob</w:t>
      </w:r>
      <w:proofErr w:type="spellEnd"/>
      <w:r w:rsidRPr="00646913">
        <w:t>” para definir “atacar con violencia”, además, la palabra “</w:t>
      </w:r>
      <w:proofErr w:type="spellStart"/>
      <w:r w:rsidRPr="00646913">
        <w:t>mob</w:t>
      </w:r>
      <w:proofErr w:type="spellEnd"/>
      <w:r w:rsidRPr="00646913">
        <w:t>” proviene del latín “</w:t>
      </w:r>
      <w:proofErr w:type="spellStart"/>
      <w:r w:rsidRPr="00646913">
        <w:t>mobile</w:t>
      </w:r>
      <w:proofErr w:type="spellEnd"/>
      <w:r w:rsidRPr="00646913">
        <w:t xml:space="preserve"> </w:t>
      </w:r>
      <w:proofErr w:type="spellStart"/>
      <w:r w:rsidRPr="00646913">
        <w:t>vulgus</w:t>
      </w:r>
      <w:proofErr w:type="spellEnd"/>
      <w:r w:rsidRPr="00646913">
        <w:t>” traducida como multitud o turba, definiendo finalmente este comportamiento como una acción agresiva de ciertos grupos de animales que se aliaban para</w:t>
      </w:r>
      <w:r w:rsidR="00102CB8">
        <w:t xml:space="preserve"> atacar a otros </w:t>
      </w:r>
      <w:sdt>
        <w:sdtPr>
          <w:id w:val="-1736705381"/>
          <w:citation/>
        </w:sdtPr>
        <w:sdtEndPr/>
        <w:sdtContent>
          <w:r w:rsidR="00102CB8">
            <w:fldChar w:fldCharType="begin"/>
          </w:r>
          <w:r w:rsidR="00102CB8">
            <w:rPr>
              <w:lang w:val="es-MX"/>
            </w:rPr>
            <w:instrText xml:space="preserve"> CITATION Ale11 \l 2058 </w:instrText>
          </w:r>
          <w:r w:rsidR="00102CB8">
            <w:fldChar w:fldCharType="separate"/>
          </w:r>
          <w:r w:rsidR="00102CB8" w:rsidRPr="00102CB8">
            <w:rPr>
              <w:noProof/>
              <w:lang w:val="es-MX"/>
            </w:rPr>
            <w:t>(Alegría, 2011)</w:t>
          </w:r>
          <w:r w:rsidR="00102CB8">
            <w:fldChar w:fldCharType="end"/>
          </w:r>
        </w:sdtContent>
      </w:sdt>
      <w:r w:rsidR="00102CB8">
        <w:t>.</w:t>
      </w:r>
    </w:p>
    <w:p w14:paraId="53A40584" w14:textId="6F6D9210" w:rsidR="00C767B2" w:rsidRPr="00646913" w:rsidRDefault="00C767B2" w:rsidP="00C767B2">
      <w:pPr>
        <w:spacing w:line="360" w:lineRule="auto"/>
        <w:ind w:firstLine="709"/>
        <w:jc w:val="both"/>
      </w:pPr>
      <w:r w:rsidRPr="00646913">
        <w:t xml:space="preserve">Posteriormente se establece el término relacionado a las desigualdades laborales, con relación a estrés psicológico se define “trabajador hostigado” por el científico sueco </w:t>
      </w:r>
      <w:proofErr w:type="spellStart"/>
      <w:r w:rsidRPr="00646913">
        <w:t>Brodsky</w:t>
      </w:r>
      <w:proofErr w:type="spellEnd"/>
      <w:r w:rsidRPr="00646913">
        <w:t xml:space="preserve"> en 1976, haciendo referencia a la influencia del clima social y político, en la década de 1960, sin presentar un impacto laboral por centrarse en un enfoque socio médico, por lo que no tuvo un impacto científico real y no se consideró como una situació</w:t>
      </w:r>
      <w:r w:rsidR="00102CB8">
        <w:t xml:space="preserve">n laboral estresante </w:t>
      </w:r>
      <w:sdt>
        <w:sdtPr>
          <w:id w:val="438486994"/>
          <w:citation/>
        </w:sdtPr>
        <w:sdtEndPr/>
        <w:sdtContent>
          <w:r w:rsidR="00102CB8">
            <w:fldChar w:fldCharType="begin"/>
          </w:r>
          <w:r w:rsidR="00102CB8">
            <w:rPr>
              <w:lang w:val="es-MX"/>
            </w:rPr>
            <w:instrText xml:space="preserve"> CITATION Día19 \l 2058 </w:instrText>
          </w:r>
          <w:r w:rsidR="00102CB8">
            <w:fldChar w:fldCharType="separate"/>
          </w:r>
          <w:r w:rsidR="00102CB8" w:rsidRPr="00102CB8">
            <w:rPr>
              <w:noProof/>
              <w:lang w:val="es-MX"/>
            </w:rPr>
            <w:t>(Díaz &amp; Luna, 2019)</w:t>
          </w:r>
          <w:r w:rsidR="00102CB8">
            <w:fldChar w:fldCharType="end"/>
          </w:r>
        </w:sdtContent>
      </w:sdt>
      <w:r w:rsidRPr="00646913">
        <w:t>. Sin embargo, la Ley de Ambiente Laboral en Suecia en 1976 brinda la posibilidad de generar un cambio en el tema, logrando obtener financiamiento por un fondo nacional de investigación, y de esta manera realizar estudios relacionados a la Piscología del Trabajo, sin considerar los estudios reali</w:t>
      </w:r>
      <w:r w:rsidR="00FB7965">
        <w:t xml:space="preserve">zados por </w:t>
      </w:r>
      <w:proofErr w:type="spellStart"/>
      <w:r w:rsidR="00FB7965">
        <w:t>Brodsky</w:t>
      </w:r>
      <w:proofErr w:type="spellEnd"/>
      <w:r w:rsidR="00102CB8">
        <w:t xml:space="preserve"> </w:t>
      </w:r>
      <w:sdt>
        <w:sdtPr>
          <w:id w:val="325404579"/>
          <w:citation/>
        </w:sdtPr>
        <w:sdtEndPr/>
        <w:sdtContent>
          <w:r w:rsidR="00FB7965">
            <w:fldChar w:fldCharType="begin"/>
          </w:r>
          <w:r w:rsidR="00FB7965">
            <w:rPr>
              <w:lang w:val="es-MX"/>
            </w:rPr>
            <w:instrText xml:space="preserve"> CITATION Ley96 \l 2058 </w:instrText>
          </w:r>
          <w:r w:rsidR="00FB7965">
            <w:fldChar w:fldCharType="separate"/>
          </w:r>
          <w:r w:rsidR="00FB7965" w:rsidRPr="00FB7965">
            <w:rPr>
              <w:noProof/>
              <w:lang w:val="es-MX"/>
            </w:rPr>
            <w:t>(Leymann, 1996)</w:t>
          </w:r>
          <w:r w:rsidR="00FB7965">
            <w:fldChar w:fldCharType="end"/>
          </w:r>
        </w:sdtContent>
      </w:sdt>
      <w:r w:rsidRPr="00646913">
        <w:t>.</w:t>
      </w:r>
    </w:p>
    <w:p w14:paraId="56747603" w14:textId="7D70CE3B" w:rsidR="00C767B2" w:rsidRPr="00646913" w:rsidRDefault="00C767B2" w:rsidP="00C767B2">
      <w:pPr>
        <w:spacing w:line="360" w:lineRule="auto"/>
        <w:ind w:firstLine="709"/>
        <w:jc w:val="both"/>
      </w:pPr>
      <w:r w:rsidRPr="00646913">
        <w:t xml:space="preserve">La relación del acoso sexual en el trabajo se da a conocer en Estados Unidos por </w:t>
      </w:r>
      <w:proofErr w:type="spellStart"/>
      <w:r w:rsidRPr="00646913">
        <w:t>Lin</w:t>
      </w:r>
      <w:proofErr w:type="spellEnd"/>
      <w:r w:rsidRPr="00646913">
        <w:t xml:space="preserve"> </w:t>
      </w:r>
      <w:proofErr w:type="spellStart"/>
      <w:r w:rsidRPr="00646913">
        <w:t>Farley</w:t>
      </w:r>
      <w:proofErr w:type="spellEnd"/>
      <w:r w:rsidRPr="00646913">
        <w:t xml:space="preserve"> en 1978, a través de su libro “Sexual </w:t>
      </w:r>
      <w:proofErr w:type="spellStart"/>
      <w:r w:rsidRPr="00646913">
        <w:t>Shankedown</w:t>
      </w:r>
      <w:proofErr w:type="spellEnd"/>
      <w:r w:rsidRPr="00646913">
        <w:t xml:space="preserve">: </w:t>
      </w:r>
      <w:proofErr w:type="spellStart"/>
      <w:r w:rsidRPr="00646913">
        <w:t>The</w:t>
      </w:r>
      <w:proofErr w:type="spellEnd"/>
      <w:r w:rsidRPr="00646913">
        <w:t xml:space="preserve"> Sexual </w:t>
      </w:r>
      <w:proofErr w:type="spellStart"/>
      <w:r w:rsidRPr="00646913">
        <w:t>Harassment</w:t>
      </w:r>
      <w:proofErr w:type="spellEnd"/>
      <w:r w:rsidRPr="00646913">
        <w:t xml:space="preserve"> of </w:t>
      </w:r>
      <w:proofErr w:type="spellStart"/>
      <w:r w:rsidRPr="00646913">
        <w:t>Women</w:t>
      </w:r>
      <w:proofErr w:type="spellEnd"/>
      <w:r w:rsidRPr="00646913">
        <w:t xml:space="preserve"> </w:t>
      </w:r>
      <w:proofErr w:type="spellStart"/>
      <w:r w:rsidRPr="00646913">
        <w:t>on</w:t>
      </w:r>
      <w:proofErr w:type="spellEnd"/>
      <w:r w:rsidRPr="00646913">
        <w:t xml:space="preserve"> </w:t>
      </w:r>
      <w:proofErr w:type="spellStart"/>
      <w:r w:rsidRPr="00646913">
        <w:t>the</w:t>
      </w:r>
      <w:proofErr w:type="spellEnd"/>
      <w:r w:rsidRPr="00646913">
        <w:t xml:space="preserve"> Job y en 1979, </w:t>
      </w:r>
      <w:proofErr w:type="spellStart"/>
      <w:r w:rsidRPr="00646913">
        <w:t>Mackinnon</w:t>
      </w:r>
      <w:proofErr w:type="spellEnd"/>
      <w:r w:rsidRPr="00646913">
        <w:t xml:space="preserve"> publica “Sexual </w:t>
      </w:r>
      <w:proofErr w:type="spellStart"/>
      <w:r w:rsidRPr="00646913">
        <w:t>Harassment</w:t>
      </w:r>
      <w:proofErr w:type="spellEnd"/>
      <w:r w:rsidRPr="00646913">
        <w:t xml:space="preserve"> of </w:t>
      </w:r>
      <w:proofErr w:type="spellStart"/>
      <w:r w:rsidRPr="00646913">
        <w:t>Working</w:t>
      </w:r>
      <w:proofErr w:type="spellEnd"/>
      <w:r w:rsidRPr="00646913">
        <w:t xml:space="preserve"> </w:t>
      </w:r>
      <w:proofErr w:type="spellStart"/>
      <w:r w:rsidRPr="00646913">
        <w:t>Women</w:t>
      </w:r>
      <w:proofErr w:type="spellEnd"/>
      <w:r w:rsidRPr="00646913">
        <w:t xml:space="preserve">: A case of Sex </w:t>
      </w:r>
      <w:proofErr w:type="spellStart"/>
      <w:r w:rsidRPr="00646913">
        <w:t>Discrimination</w:t>
      </w:r>
      <w:proofErr w:type="spellEnd"/>
      <w:r w:rsidRPr="00646913">
        <w:t>”, estableciendo la incidencia del acoso en el ámbito laboral, siendo las primeras publicaciones que muestran una atención sexual no deseada, sin dejar de lado que no se trata de una acción o conducta ilícita que presentan solo las mujeres, de manera que se trata de una lucha por la igualdad de los derechos de hombres y muj</w:t>
      </w:r>
      <w:r w:rsidR="00FB7965">
        <w:t xml:space="preserve">eres </w:t>
      </w:r>
      <w:sdt>
        <w:sdtPr>
          <w:id w:val="1278520158"/>
          <w:citation/>
        </w:sdtPr>
        <w:sdtEndPr/>
        <w:sdtContent>
          <w:r w:rsidR="00FB7965">
            <w:fldChar w:fldCharType="begin"/>
          </w:r>
          <w:r w:rsidR="00FB7965">
            <w:rPr>
              <w:lang w:val="es-MX"/>
            </w:rPr>
            <w:instrText xml:space="preserve"> CITATION Esp21 \l 2058 </w:instrText>
          </w:r>
          <w:r w:rsidR="00FB7965">
            <w:fldChar w:fldCharType="separate"/>
          </w:r>
          <w:r w:rsidR="00FB7965" w:rsidRPr="00FB7965">
            <w:rPr>
              <w:noProof/>
              <w:lang w:val="es-MX"/>
            </w:rPr>
            <w:t>(Espinoza &amp; Carballo, 2021)</w:t>
          </w:r>
          <w:r w:rsidR="00FB7965">
            <w:fldChar w:fldCharType="end"/>
          </w:r>
        </w:sdtContent>
      </w:sdt>
      <w:r w:rsidRPr="00646913">
        <w:t>.</w:t>
      </w:r>
    </w:p>
    <w:p w14:paraId="34DB0D10" w14:textId="370E4622" w:rsidR="00B74F85" w:rsidRPr="00B74F85" w:rsidRDefault="00B74F85" w:rsidP="00C767B2">
      <w:pPr>
        <w:spacing w:line="360" w:lineRule="auto"/>
        <w:jc w:val="both"/>
        <w:rPr>
          <w:b/>
          <w:bCs/>
          <w:sz w:val="28"/>
          <w:szCs w:val="28"/>
        </w:rPr>
      </w:pPr>
      <w:r w:rsidRPr="00B74F85">
        <w:rPr>
          <w:b/>
          <w:bCs/>
          <w:sz w:val="28"/>
          <w:szCs w:val="28"/>
        </w:rPr>
        <w:t xml:space="preserve">Metodología </w:t>
      </w:r>
    </w:p>
    <w:p w14:paraId="321A0F3A" w14:textId="30D3BC4A" w:rsidR="006A6EF0" w:rsidRPr="006A6EF0" w:rsidRDefault="006A6EF0" w:rsidP="00C767B2">
      <w:pPr>
        <w:spacing w:line="360" w:lineRule="auto"/>
        <w:jc w:val="both"/>
        <w:rPr>
          <w:bCs/>
        </w:rPr>
      </w:pPr>
      <w:r>
        <w:rPr>
          <w:bCs/>
        </w:rPr>
        <w:t>El estudio es de tipo cuantitativo, descriptivo y para la validación se utilizó la metodología de análisis factorial exploratorio (AFE).</w:t>
      </w:r>
    </w:p>
    <w:p w14:paraId="4CE041DB" w14:textId="370ABDA4" w:rsidR="00C767B2" w:rsidRPr="00646913" w:rsidRDefault="00C767B2" w:rsidP="00C767B2">
      <w:pPr>
        <w:spacing w:line="360" w:lineRule="auto"/>
        <w:jc w:val="both"/>
        <w:rPr>
          <w:b/>
          <w:bCs/>
        </w:rPr>
      </w:pPr>
      <w:r w:rsidRPr="00646913">
        <w:rPr>
          <w:b/>
          <w:bCs/>
        </w:rPr>
        <w:t>Objetivo de la investigación</w:t>
      </w:r>
    </w:p>
    <w:p w14:paraId="524B568F" w14:textId="77777777" w:rsidR="00C767B2" w:rsidRPr="00646913" w:rsidRDefault="00C767B2" w:rsidP="00C767B2">
      <w:pPr>
        <w:spacing w:line="360" w:lineRule="auto"/>
        <w:ind w:firstLine="709"/>
        <w:jc w:val="both"/>
      </w:pPr>
      <w:r w:rsidRPr="00646913">
        <w:lastRenderedPageBreak/>
        <w:t>El objetivo de la investigación es validar el instrumento de acoso sexual desarrollado por Cortina (2001).</w:t>
      </w:r>
    </w:p>
    <w:p w14:paraId="2F448A49" w14:textId="77777777" w:rsidR="00C767B2" w:rsidRPr="00646913" w:rsidRDefault="00C767B2" w:rsidP="00C767B2">
      <w:pPr>
        <w:spacing w:line="360" w:lineRule="auto"/>
        <w:jc w:val="both"/>
        <w:rPr>
          <w:b/>
          <w:bCs/>
        </w:rPr>
      </w:pPr>
    </w:p>
    <w:p w14:paraId="7379E04B" w14:textId="77777777" w:rsidR="00C767B2" w:rsidRPr="00646913" w:rsidRDefault="00C767B2" w:rsidP="00C767B2">
      <w:pPr>
        <w:spacing w:line="360" w:lineRule="auto"/>
        <w:jc w:val="both"/>
        <w:rPr>
          <w:b/>
          <w:bCs/>
        </w:rPr>
      </w:pPr>
      <w:r w:rsidRPr="00646913">
        <w:rPr>
          <w:b/>
          <w:bCs/>
        </w:rPr>
        <w:t>Participantes</w:t>
      </w:r>
    </w:p>
    <w:p w14:paraId="259E8BEB" w14:textId="77777777" w:rsidR="00C767B2" w:rsidRPr="00646913" w:rsidRDefault="00C767B2" w:rsidP="00C767B2">
      <w:pPr>
        <w:spacing w:line="360" w:lineRule="auto"/>
        <w:jc w:val="both"/>
      </w:pPr>
      <w:r w:rsidRPr="00646913">
        <w:rPr>
          <w:b/>
          <w:bCs/>
        </w:rPr>
        <w:tab/>
      </w:r>
      <w:r w:rsidRPr="00646913">
        <w:t>El marco de muestreo empleado en esta investigación se enfoca a mujeres trabajadoras de Guanajuato, residentes de los municipios de Celaya, Irapuato y Guanajuato.</w:t>
      </w:r>
    </w:p>
    <w:p w14:paraId="4E6A74C9" w14:textId="77777777" w:rsidR="00C767B2" w:rsidRPr="00646913" w:rsidRDefault="00C767B2" w:rsidP="00C767B2">
      <w:pPr>
        <w:spacing w:line="360" w:lineRule="auto"/>
        <w:jc w:val="both"/>
      </w:pPr>
      <w:r w:rsidRPr="00646913">
        <w:tab/>
        <w:t>De manera que se logró obtener una muestra de 348 participantes mujeres, de entre 18 y 67 años de edad, con una media de 32 años. Según su estado civil se reporta el 33.6% casadas (n=117), 8.3% divorciadas (n=29) y el 58% solteras (n=202). En cuanto a la escolaridad de las mujeres entrevistadas se muestra el 28.2% con bachillerato (n=98), 2% con doctorado (n=7), 49.1% con licenciatura (n=171), 8.9% con posgrado (n=31), 2% con primaria (n=7) y 9.8% de ellas con secundaria (n=34). Con relación al área laboral en la que se desempeñan, 17.5% corresponde a servicios (n=61), en comercio el 16.7% (n=58), 9.5% en educación (n=33), salud el 7.5% (n=26), en ventas 6.9% (n=24), industria el 6.3% (n=22) al igual que gobierno, administración 5.5% (n=19), manufactura 3.4% (n=12), el resto en otras actividades. Finalmente, 72.7% de las mujeres refieren no tener personal a su cargo (n=253) y el 27.3% si tienen personal a su cargo en sus áreas laborales (n=95).</w:t>
      </w:r>
    </w:p>
    <w:p w14:paraId="650F289F" w14:textId="77777777" w:rsidR="00C767B2" w:rsidRPr="00646913" w:rsidRDefault="00C767B2" w:rsidP="00C767B2">
      <w:pPr>
        <w:spacing w:line="360" w:lineRule="auto"/>
        <w:jc w:val="center"/>
      </w:pPr>
      <w:r w:rsidRPr="00646913">
        <w:t>Tabla 1. Cuestionario utilizado</w:t>
      </w:r>
    </w:p>
    <w:tbl>
      <w:tblPr>
        <w:tblW w:w="7825" w:type="dxa"/>
        <w:jc w:val="center"/>
        <w:tblCellMar>
          <w:left w:w="70" w:type="dxa"/>
          <w:right w:w="70" w:type="dxa"/>
        </w:tblCellMar>
        <w:tblLook w:val="04A0" w:firstRow="1" w:lastRow="0" w:firstColumn="1" w:lastColumn="0" w:noHBand="0" w:noVBand="1"/>
      </w:tblPr>
      <w:tblGrid>
        <w:gridCol w:w="4689"/>
        <w:gridCol w:w="1559"/>
        <w:gridCol w:w="1417"/>
        <w:gridCol w:w="160"/>
      </w:tblGrid>
      <w:tr w:rsidR="00C767B2" w:rsidRPr="00646913" w14:paraId="65CA44FC" w14:textId="77777777" w:rsidTr="00EE205C">
        <w:trPr>
          <w:trHeight w:val="540"/>
          <w:jc w:val="center"/>
        </w:trPr>
        <w:tc>
          <w:tcPr>
            <w:tcW w:w="4689" w:type="dxa"/>
            <w:tcBorders>
              <w:top w:val="nil"/>
              <w:left w:val="nil"/>
              <w:bottom w:val="single" w:sz="4" w:space="0" w:color="152935"/>
              <w:right w:val="nil"/>
            </w:tcBorders>
            <w:shd w:val="clear" w:color="auto" w:fill="auto"/>
            <w:vAlign w:val="center"/>
            <w:hideMark/>
          </w:tcPr>
          <w:p w14:paraId="1196414B" w14:textId="77777777" w:rsidR="00C767B2" w:rsidRPr="00646913" w:rsidRDefault="00C767B2" w:rsidP="00EE205C">
            <w:pPr>
              <w:rPr>
                <w:rFonts w:eastAsia="Times New Roman"/>
                <w:lang w:eastAsia="es-MX"/>
              </w:rPr>
            </w:pPr>
          </w:p>
        </w:tc>
        <w:tc>
          <w:tcPr>
            <w:tcW w:w="1559" w:type="dxa"/>
            <w:tcBorders>
              <w:top w:val="nil"/>
              <w:left w:val="nil"/>
              <w:bottom w:val="single" w:sz="4" w:space="0" w:color="152935"/>
              <w:right w:val="single" w:sz="4" w:space="0" w:color="E0E0E0"/>
            </w:tcBorders>
            <w:shd w:val="clear" w:color="auto" w:fill="auto"/>
            <w:vAlign w:val="center"/>
            <w:hideMark/>
          </w:tcPr>
          <w:p w14:paraId="4C539271" w14:textId="77777777" w:rsidR="00C767B2" w:rsidRPr="00646913" w:rsidRDefault="00C767B2" w:rsidP="00EE205C">
            <w:pPr>
              <w:jc w:val="center"/>
              <w:rPr>
                <w:rFonts w:eastAsia="Times New Roman"/>
                <w:lang w:eastAsia="es-MX"/>
              </w:rPr>
            </w:pPr>
            <w:r w:rsidRPr="00646913">
              <w:rPr>
                <w:rFonts w:eastAsia="Times New Roman"/>
                <w:lang w:eastAsia="es-MX"/>
              </w:rPr>
              <w:t>Media</w:t>
            </w:r>
          </w:p>
        </w:tc>
        <w:tc>
          <w:tcPr>
            <w:tcW w:w="1417" w:type="dxa"/>
            <w:tcBorders>
              <w:top w:val="nil"/>
              <w:left w:val="nil"/>
              <w:bottom w:val="single" w:sz="4" w:space="0" w:color="152935"/>
              <w:right w:val="single" w:sz="4" w:space="0" w:color="E0E0E0"/>
            </w:tcBorders>
            <w:shd w:val="clear" w:color="auto" w:fill="auto"/>
            <w:vAlign w:val="center"/>
            <w:hideMark/>
          </w:tcPr>
          <w:p w14:paraId="3D25DBBB" w14:textId="77777777" w:rsidR="00C767B2" w:rsidRPr="00646913" w:rsidRDefault="00C767B2" w:rsidP="00EE205C">
            <w:pPr>
              <w:jc w:val="center"/>
              <w:rPr>
                <w:rFonts w:eastAsia="Times New Roman"/>
                <w:lang w:eastAsia="es-MX"/>
              </w:rPr>
            </w:pPr>
            <w:r w:rsidRPr="00646913">
              <w:rPr>
                <w:rFonts w:eastAsia="Times New Roman"/>
                <w:lang w:eastAsia="es-MX"/>
              </w:rPr>
              <w:t>Desviación estándar</w:t>
            </w:r>
          </w:p>
        </w:tc>
        <w:tc>
          <w:tcPr>
            <w:tcW w:w="160" w:type="dxa"/>
            <w:tcBorders>
              <w:top w:val="nil"/>
              <w:left w:val="nil"/>
              <w:bottom w:val="single" w:sz="4" w:space="0" w:color="152935"/>
              <w:right w:val="nil"/>
            </w:tcBorders>
          </w:tcPr>
          <w:p w14:paraId="706B773D" w14:textId="77777777" w:rsidR="00C767B2" w:rsidRPr="00646913" w:rsidRDefault="00C767B2" w:rsidP="00EE205C">
            <w:pPr>
              <w:jc w:val="center"/>
              <w:rPr>
                <w:rFonts w:eastAsia="Times New Roman"/>
                <w:lang w:eastAsia="es-MX"/>
              </w:rPr>
            </w:pPr>
          </w:p>
        </w:tc>
      </w:tr>
      <w:tr w:rsidR="00C767B2" w:rsidRPr="00646913" w14:paraId="1FF96DDF" w14:textId="77777777" w:rsidTr="00EE205C">
        <w:trPr>
          <w:trHeight w:val="718"/>
          <w:jc w:val="center"/>
        </w:trPr>
        <w:tc>
          <w:tcPr>
            <w:tcW w:w="4689" w:type="dxa"/>
            <w:tcBorders>
              <w:top w:val="nil"/>
              <w:left w:val="nil"/>
              <w:bottom w:val="single" w:sz="4" w:space="0" w:color="AEAEAE"/>
              <w:right w:val="nil"/>
            </w:tcBorders>
            <w:shd w:val="clear" w:color="000000" w:fill="E0E0E0"/>
            <w:vAlign w:val="center"/>
            <w:hideMark/>
          </w:tcPr>
          <w:p w14:paraId="1BC5720F" w14:textId="77777777" w:rsidR="00C767B2" w:rsidRPr="00646913" w:rsidRDefault="00C767B2" w:rsidP="00EE205C">
            <w:pPr>
              <w:rPr>
                <w:rFonts w:eastAsia="Times New Roman"/>
                <w:lang w:eastAsia="es-MX"/>
              </w:rPr>
            </w:pPr>
            <w:r w:rsidRPr="00646913">
              <w:rPr>
                <w:rFonts w:eastAsia="Times New Roman"/>
                <w:lang w:eastAsia="es-MX"/>
              </w:rPr>
              <w:t>[1. ¿Le han dicho cosas para insultar a las mujeres en general (por ejemplo, diciendo que las mujeres no llegan a ser buenas supervisoras)?]</w:t>
            </w:r>
          </w:p>
        </w:tc>
        <w:tc>
          <w:tcPr>
            <w:tcW w:w="1559" w:type="dxa"/>
            <w:tcBorders>
              <w:top w:val="nil"/>
              <w:left w:val="nil"/>
              <w:bottom w:val="single" w:sz="4" w:space="0" w:color="AEAEAE"/>
              <w:right w:val="single" w:sz="4" w:space="0" w:color="E0E0E0"/>
            </w:tcBorders>
            <w:shd w:val="clear" w:color="auto" w:fill="auto"/>
            <w:noWrap/>
            <w:vAlign w:val="center"/>
            <w:hideMark/>
          </w:tcPr>
          <w:p w14:paraId="00B55C41" w14:textId="77777777" w:rsidR="00C767B2" w:rsidRPr="00646913" w:rsidRDefault="00C767B2" w:rsidP="00EE205C">
            <w:pPr>
              <w:jc w:val="center"/>
              <w:rPr>
                <w:rFonts w:eastAsia="Times New Roman"/>
                <w:lang w:eastAsia="es-MX"/>
              </w:rPr>
            </w:pPr>
            <w:r w:rsidRPr="00646913">
              <w:rPr>
                <w:rFonts w:eastAsia="Times New Roman"/>
                <w:lang w:eastAsia="es-MX"/>
              </w:rPr>
              <w:t>1.90</w:t>
            </w:r>
          </w:p>
        </w:tc>
        <w:tc>
          <w:tcPr>
            <w:tcW w:w="1417" w:type="dxa"/>
            <w:tcBorders>
              <w:top w:val="nil"/>
              <w:left w:val="nil"/>
              <w:bottom w:val="single" w:sz="4" w:space="0" w:color="AEAEAE"/>
              <w:right w:val="single" w:sz="4" w:space="0" w:color="E0E0E0"/>
            </w:tcBorders>
            <w:shd w:val="clear" w:color="auto" w:fill="auto"/>
            <w:noWrap/>
            <w:vAlign w:val="center"/>
            <w:hideMark/>
          </w:tcPr>
          <w:p w14:paraId="48A0E2EF" w14:textId="77777777" w:rsidR="00C767B2" w:rsidRPr="00646913" w:rsidRDefault="00C767B2" w:rsidP="00EE205C">
            <w:pPr>
              <w:jc w:val="center"/>
              <w:rPr>
                <w:rFonts w:eastAsia="Times New Roman"/>
                <w:lang w:eastAsia="es-MX"/>
              </w:rPr>
            </w:pPr>
            <w:r w:rsidRPr="00646913">
              <w:rPr>
                <w:rFonts w:eastAsia="Times New Roman"/>
                <w:lang w:eastAsia="es-MX"/>
              </w:rPr>
              <w:t>1.494</w:t>
            </w:r>
          </w:p>
        </w:tc>
        <w:tc>
          <w:tcPr>
            <w:tcW w:w="160" w:type="dxa"/>
            <w:tcBorders>
              <w:top w:val="nil"/>
              <w:left w:val="nil"/>
              <w:bottom w:val="single" w:sz="4" w:space="0" w:color="AEAEAE"/>
              <w:right w:val="nil"/>
            </w:tcBorders>
          </w:tcPr>
          <w:p w14:paraId="5F2EC2F1" w14:textId="77777777" w:rsidR="00C767B2" w:rsidRPr="00646913" w:rsidRDefault="00C767B2" w:rsidP="00EE205C">
            <w:pPr>
              <w:jc w:val="center"/>
              <w:rPr>
                <w:rFonts w:eastAsia="Times New Roman"/>
                <w:lang w:eastAsia="es-MX"/>
              </w:rPr>
            </w:pPr>
          </w:p>
        </w:tc>
      </w:tr>
      <w:tr w:rsidR="00C767B2" w:rsidRPr="00646913" w14:paraId="51C115FB" w14:textId="77777777" w:rsidTr="00EE205C">
        <w:trPr>
          <w:trHeight w:val="713"/>
          <w:jc w:val="center"/>
        </w:trPr>
        <w:tc>
          <w:tcPr>
            <w:tcW w:w="4689" w:type="dxa"/>
            <w:tcBorders>
              <w:top w:val="nil"/>
              <w:left w:val="nil"/>
              <w:bottom w:val="single" w:sz="4" w:space="0" w:color="AEAEAE"/>
              <w:right w:val="nil"/>
            </w:tcBorders>
            <w:shd w:val="clear" w:color="000000" w:fill="E0E0E0"/>
            <w:vAlign w:val="center"/>
            <w:hideMark/>
          </w:tcPr>
          <w:p w14:paraId="3EF8C114" w14:textId="77777777" w:rsidR="00C767B2" w:rsidRPr="00646913" w:rsidRDefault="00C767B2" w:rsidP="00EE205C">
            <w:pPr>
              <w:rPr>
                <w:rFonts w:eastAsia="Times New Roman"/>
                <w:lang w:eastAsia="es-MX"/>
              </w:rPr>
            </w:pPr>
            <w:r w:rsidRPr="00646913">
              <w:rPr>
                <w:rFonts w:eastAsia="Times New Roman"/>
                <w:lang w:eastAsia="es-MX"/>
              </w:rPr>
              <w:t>[2. ¿Le han dicho chistes o cuentos que describen negativamente a las mujeres en general?]</w:t>
            </w:r>
          </w:p>
        </w:tc>
        <w:tc>
          <w:tcPr>
            <w:tcW w:w="1559" w:type="dxa"/>
            <w:tcBorders>
              <w:top w:val="nil"/>
              <w:left w:val="nil"/>
              <w:bottom w:val="single" w:sz="4" w:space="0" w:color="AEAEAE"/>
              <w:right w:val="single" w:sz="4" w:space="0" w:color="E0E0E0"/>
            </w:tcBorders>
            <w:shd w:val="clear" w:color="auto" w:fill="auto"/>
            <w:noWrap/>
            <w:vAlign w:val="center"/>
            <w:hideMark/>
          </w:tcPr>
          <w:p w14:paraId="6813F787" w14:textId="77777777" w:rsidR="00C767B2" w:rsidRPr="00646913" w:rsidRDefault="00C767B2" w:rsidP="00EE205C">
            <w:pPr>
              <w:jc w:val="center"/>
              <w:rPr>
                <w:rFonts w:eastAsia="Times New Roman"/>
                <w:lang w:eastAsia="es-MX"/>
              </w:rPr>
            </w:pPr>
            <w:r w:rsidRPr="00646913">
              <w:rPr>
                <w:rFonts w:eastAsia="Times New Roman"/>
                <w:lang w:eastAsia="es-MX"/>
              </w:rPr>
              <w:t>2.11</w:t>
            </w:r>
          </w:p>
        </w:tc>
        <w:tc>
          <w:tcPr>
            <w:tcW w:w="1417" w:type="dxa"/>
            <w:tcBorders>
              <w:top w:val="nil"/>
              <w:left w:val="nil"/>
              <w:bottom w:val="single" w:sz="4" w:space="0" w:color="AEAEAE"/>
              <w:right w:val="single" w:sz="4" w:space="0" w:color="E0E0E0"/>
            </w:tcBorders>
            <w:shd w:val="clear" w:color="auto" w:fill="auto"/>
            <w:noWrap/>
            <w:vAlign w:val="center"/>
            <w:hideMark/>
          </w:tcPr>
          <w:p w14:paraId="610BD906" w14:textId="77777777" w:rsidR="00C767B2" w:rsidRPr="00646913" w:rsidRDefault="00C767B2" w:rsidP="00EE205C">
            <w:pPr>
              <w:jc w:val="center"/>
              <w:rPr>
                <w:rFonts w:eastAsia="Times New Roman"/>
                <w:lang w:eastAsia="es-MX"/>
              </w:rPr>
            </w:pPr>
            <w:r w:rsidRPr="00646913">
              <w:rPr>
                <w:rFonts w:eastAsia="Times New Roman"/>
                <w:lang w:eastAsia="es-MX"/>
              </w:rPr>
              <w:t>1.585</w:t>
            </w:r>
          </w:p>
        </w:tc>
        <w:tc>
          <w:tcPr>
            <w:tcW w:w="160" w:type="dxa"/>
            <w:tcBorders>
              <w:top w:val="nil"/>
              <w:left w:val="nil"/>
              <w:bottom w:val="single" w:sz="4" w:space="0" w:color="AEAEAE"/>
              <w:right w:val="nil"/>
            </w:tcBorders>
          </w:tcPr>
          <w:p w14:paraId="1E9192FF" w14:textId="77777777" w:rsidR="00C767B2" w:rsidRPr="00646913" w:rsidRDefault="00C767B2" w:rsidP="00EE205C">
            <w:pPr>
              <w:jc w:val="center"/>
              <w:rPr>
                <w:rFonts w:eastAsia="Times New Roman"/>
                <w:lang w:eastAsia="es-MX"/>
              </w:rPr>
            </w:pPr>
          </w:p>
        </w:tc>
      </w:tr>
      <w:tr w:rsidR="00C767B2" w:rsidRPr="00646913" w14:paraId="4BCDCB74" w14:textId="77777777" w:rsidTr="00EE205C">
        <w:trPr>
          <w:trHeight w:val="411"/>
          <w:jc w:val="center"/>
        </w:trPr>
        <w:tc>
          <w:tcPr>
            <w:tcW w:w="4689" w:type="dxa"/>
            <w:tcBorders>
              <w:top w:val="nil"/>
              <w:left w:val="nil"/>
              <w:bottom w:val="single" w:sz="4" w:space="0" w:color="AEAEAE"/>
              <w:right w:val="nil"/>
            </w:tcBorders>
            <w:shd w:val="clear" w:color="000000" w:fill="E0E0E0"/>
            <w:vAlign w:val="center"/>
            <w:hideMark/>
          </w:tcPr>
          <w:p w14:paraId="777513C0" w14:textId="77777777" w:rsidR="00C767B2" w:rsidRPr="00646913" w:rsidRDefault="00C767B2" w:rsidP="00EE205C">
            <w:pPr>
              <w:rPr>
                <w:rFonts w:eastAsia="Times New Roman"/>
                <w:lang w:eastAsia="es-MX"/>
              </w:rPr>
            </w:pPr>
            <w:r w:rsidRPr="00646913">
              <w:rPr>
                <w:rFonts w:eastAsia="Times New Roman"/>
                <w:lang w:eastAsia="es-MX"/>
              </w:rPr>
              <w:t>[3. ¿Le han dicho palabras para insultar a las mujeres?]</w:t>
            </w:r>
          </w:p>
        </w:tc>
        <w:tc>
          <w:tcPr>
            <w:tcW w:w="1559" w:type="dxa"/>
            <w:tcBorders>
              <w:top w:val="nil"/>
              <w:left w:val="nil"/>
              <w:bottom w:val="single" w:sz="4" w:space="0" w:color="AEAEAE"/>
              <w:right w:val="single" w:sz="4" w:space="0" w:color="E0E0E0"/>
            </w:tcBorders>
            <w:shd w:val="clear" w:color="auto" w:fill="auto"/>
            <w:noWrap/>
            <w:vAlign w:val="center"/>
            <w:hideMark/>
          </w:tcPr>
          <w:p w14:paraId="61839739" w14:textId="77777777" w:rsidR="00C767B2" w:rsidRPr="00646913" w:rsidRDefault="00C767B2" w:rsidP="00EE205C">
            <w:pPr>
              <w:jc w:val="center"/>
              <w:rPr>
                <w:rFonts w:eastAsia="Times New Roman"/>
                <w:lang w:eastAsia="es-MX"/>
              </w:rPr>
            </w:pPr>
            <w:r w:rsidRPr="00646913">
              <w:rPr>
                <w:rFonts w:eastAsia="Times New Roman"/>
                <w:lang w:eastAsia="es-MX"/>
              </w:rPr>
              <w:t>2.00</w:t>
            </w:r>
          </w:p>
        </w:tc>
        <w:tc>
          <w:tcPr>
            <w:tcW w:w="1417" w:type="dxa"/>
            <w:tcBorders>
              <w:top w:val="nil"/>
              <w:left w:val="nil"/>
              <w:bottom w:val="single" w:sz="4" w:space="0" w:color="AEAEAE"/>
              <w:right w:val="single" w:sz="4" w:space="0" w:color="E0E0E0"/>
            </w:tcBorders>
            <w:shd w:val="clear" w:color="auto" w:fill="auto"/>
            <w:noWrap/>
            <w:vAlign w:val="center"/>
            <w:hideMark/>
          </w:tcPr>
          <w:p w14:paraId="104D43E5" w14:textId="77777777" w:rsidR="00C767B2" w:rsidRPr="00646913" w:rsidRDefault="00C767B2" w:rsidP="00EE205C">
            <w:pPr>
              <w:jc w:val="center"/>
              <w:rPr>
                <w:rFonts w:eastAsia="Times New Roman"/>
                <w:lang w:eastAsia="es-MX"/>
              </w:rPr>
            </w:pPr>
            <w:r w:rsidRPr="00646913">
              <w:rPr>
                <w:rFonts w:eastAsia="Times New Roman"/>
                <w:lang w:eastAsia="es-MX"/>
              </w:rPr>
              <w:t>1.537</w:t>
            </w:r>
          </w:p>
        </w:tc>
        <w:tc>
          <w:tcPr>
            <w:tcW w:w="160" w:type="dxa"/>
            <w:tcBorders>
              <w:top w:val="nil"/>
              <w:left w:val="nil"/>
              <w:bottom w:val="single" w:sz="4" w:space="0" w:color="AEAEAE"/>
              <w:right w:val="nil"/>
            </w:tcBorders>
          </w:tcPr>
          <w:p w14:paraId="7F326807" w14:textId="77777777" w:rsidR="00C767B2" w:rsidRPr="00646913" w:rsidRDefault="00C767B2" w:rsidP="00EE205C">
            <w:pPr>
              <w:jc w:val="center"/>
              <w:rPr>
                <w:rFonts w:eastAsia="Times New Roman"/>
                <w:lang w:eastAsia="es-MX"/>
              </w:rPr>
            </w:pPr>
          </w:p>
        </w:tc>
      </w:tr>
      <w:tr w:rsidR="00C767B2" w:rsidRPr="00646913" w14:paraId="41109CCD" w14:textId="77777777" w:rsidTr="00EE205C">
        <w:trPr>
          <w:trHeight w:val="404"/>
          <w:jc w:val="center"/>
        </w:trPr>
        <w:tc>
          <w:tcPr>
            <w:tcW w:w="4689" w:type="dxa"/>
            <w:tcBorders>
              <w:top w:val="nil"/>
              <w:left w:val="nil"/>
              <w:bottom w:val="single" w:sz="4" w:space="0" w:color="AEAEAE"/>
              <w:right w:val="nil"/>
            </w:tcBorders>
            <w:shd w:val="clear" w:color="000000" w:fill="E0E0E0"/>
            <w:vAlign w:val="center"/>
            <w:hideMark/>
          </w:tcPr>
          <w:p w14:paraId="3103052C" w14:textId="77777777" w:rsidR="00C767B2" w:rsidRPr="00646913" w:rsidRDefault="00C767B2" w:rsidP="00EE205C">
            <w:pPr>
              <w:rPr>
                <w:rFonts w:eastAsia="Times New Roman"/>
                <w:lang w:eastAsia="es-MX"/>
              </w:rPr>
            </w:pPr>
            <w:r w:rsidRPr="00646913">
              <w:rPr>
                <w:rFonts w:eastAsia="Times New Roman"/>
                <w:lang w:eastAsia="es-MX"/>
              </w:rPr>
              <w:t>[4. ¿Le han dicho cosas ofensivas acerca de su cuerpo o su vida sexual?]</w:t>
            </w:r>
          </w:p>
        </w:tc>
        <w:tc>
          <w:tcPr>
            <w:tcW w:w="1559" w:type="dxa"/>
            <w:tcBorders>
              <w:top w:val="nil"/>
              <w:left w:val="nil"/>
              <w:bottom w:val="single" w:sz="4" w:space="0" w:color="AEAEAE"/>
              <w:right w:val="single" w:sz="4" w:space="0" w:color="E0E0E0"/>
            </w:tcBorders>
            <w:shd w:val="clear" w:color="auto" w:fill="auto"/>
            <w:noWrap/>
            <w:vAlign w:val="center"/>
            <w:hideMark/>
          </w:tcPr>
          <w:p w14:paraId="5BEA2F44" w14:textId="77777777" w:rsidR="00C767B2" w:rsidRPr="00646913" w:rsidRDefault="00C767B2" w:rsidP="00EE205C">
            <w:pPr>
              <w:jc w:val="center"/>
              <w:rPr>
                <w:rFonts w:eastAsia="Times New Roman"/>
                <w:lang w:eastAsia="es-MX"/>
              </w:rPr>
            </w:pPr>
            <w:r w:rsidRPr="00646913">
              <w:rPr>
                <w:rFonts w:eastAsia="Times New Roman"/>
                <w:lang w:eastAsia="es-MX"/>
              </w:rPr>
              <w:t>1.93</w:t>
            </w:r>
          </w:p>
        </w:tc>
        <w:tc>
          <w:tcPr>
            <w:tcW w:w="1417" w:type="dxa"/>
            <w:tcBorders>
              <w:top w:val="nil"/>
              <w:left w:val="nil"/>
              <w:bottom w:val="single" w:sz="4" w:space="0" w:color="AEAEAE"/>
              <w:right w:val="single" w:sz="4" w:space="0" w:color="E0E0E0"/>
            </w:tcBorders>
            <w:shd w:val="clear" w:color="auto" w:fill="auto"/>
            <w:noWrap/>
            <w:vAlign w:val="center"/>
            <w:hideMark/>
          </w:tcPr>
          <w:p w14:paraId="42242C14" w14:textId="77777777" w:rsidR="00C767B2" w:rsidRPr="00646913" w:rsidRDefault="00C767B2" w:rsidP="00EE205C">
            <w:pPr>
              <w:jc w:val="center"/>
              <w:rPr>
                <w:rFonts w:eastAsia="Times New Roman"/>
                <w:lang w:eastAsia="es-MX"/>
              </w:rPr>
            </w:pPr>
            <w:r w:rsidRPr="00646913">
              <w:rPr>
                <w:rFonts w:eastAsia="Times New Roman"/>
                <w:lang w:eastAsia="es-MX"/>
              </w:rPr>
              <w:t>1.538</w:t>
            </w:r>
          </w:p>
        </w:tc>
        <w:tc>
          <w:tcPr>
            <w:tcW w:w="160" w:type="dxa"/>
            <w:tcBorders>
              <w:top w:val="nil"/>
              <w:left w:val="nil"/>
              <w:bottom w:val="single" w:sz="4" w:space="0" w:color="AEAEAE"/>
              <w:right w:val="nil"/>
            </w:tcBorders>
          </w:tcPr>
          <w:p w14:paraId="00BBD615" w14:textId="77777777" w:rsidR="00C767B2" w:rsidRPr="00646913" w:rsidRDefault="00C767B2" w:rsidP="00EE205C">
            <w:pPr>
              <w:jc w:val="center"/>
              <w:rPr>
                <w:rFonts w:eastAsia="Times New Roman"/>
                <w:lang w:eastAsia="es-MX"/>
              </w:rPr>
            </w:pPr>
          </w:p>
        </w:tc>
      </w:tr>
      <w:tr w:rsidR="00C767B2" w:rsidRPr="00646913" w14:paraId="4F0178EA" w14:textId="77777777" w:rsidTr="00EE205C">
        <w:trPr>
          <w:trHeight w:val="423"/>
          <w:jc w:val="center"/>
        </w:trPr>
        <w:tc>
          <w:tcPr>
            <w:tcW w:w="4689" w:type="dxa"/>
            <w:tcBorders>
              <w:top w:val="nil"/>
              <w:left w:val="nil"/>
              <w:bottom w:val="single" w:sz="4" w:space="0" w:color="AEAEAE"/>
              <w:right w:val="nil"/>
            </w:tcBorders>
            <w:shd w:val="clear" w:color="000000" w:fill="E0E0E0"/>
            <w:vAlign w:val="center"/>
            <w:hideMark/>
          </w:tcPr>
          <w:p w14:paraId="355C2EA7" w14:textId="77777777" w:rsidR="00C767B2" w:rsidRPr="00646913" w:rsidRDefault="00C767B2" w:rsidP="00EE205C">
            <w:pPr>
              <w:rPr>
                <w:rFonts w:eastAsia="Times New Roman"/>
                <w:lang w:eastAsia="es-MX"/>
              </w:rPr>
            </w:pPr>
            <w:r w:rsidRPr="00646913">
              <w:rPr>
                <w:rFonts w:eastAsia="Times New Roman"/>
                <w:lang w:eastAsia="es-MX"/>
              </w:rPr>
              <w:t>[5. ¿Han tratado de hacerla hablar acerca de cosas sexuales?]</w:t>
            </w:r>
          </w:p>
        </w:tc>
        <w:tc>
          <w:tcPr>
            <w:tcW w:w="1559" w:type="dxa"/>
            <w:tcBorders>
              <w:top w:val="nil"/>
              <w:left w:val="nil"/>
              <w:bottom w:val="single" w:sz="4" w:space="0" w:color="AEAEAE"/>
              <w:right w:val="single" w:sz="4" w:space="0" w:color="E0E0E0"/>
            </w:tcBorders>
            <w:shd w:val="clear" w:color="auto" w:fill="auto"/>
            <w:noWrap/>
            <w:vAlign w:val="center"/>
            <w:hideMark/>
          </w:tcPr>
          <w:p w14:paraId="2C769B3B" w14:textId="77777777" w:rsidR="00C767B2" w:rsidRPr="00646913" w:rsidRDefault="00C767B2" w:rsidP="00EE205C">
            <w:pPr>
              <w:jc w:val="center"/>
              <w:rPr>
                <w:rFonts w:eastAsia="Times New Roman"/>
                <w:lang w:eastAsia="es-MX"/>
              </w:rPr>
            </w:pPr>
            <w:r w:rsidRPr="00646913">
              <w:rPr>
                <w:rFonts w:eastAsia="Times New Roman"/>
                <w:lang w:eastAsia="es-MX"/>
              </w:rPr>
              <w:t>1.79</w:t>
            </w:r>
          </w:p>
        </w:tc>
        <w:tc>
          <w:tcPr>
            <w:tcW w:w="1417" w:type="dxa"/>
            <w:tcBorders>
              <w:top w:val="nil"/>
              <w:left w:val="nil"/>
              <w:bottom w:val="single" w:sz="4" w:space="0" w:color="AEAEAE"/>
              <w:right w:val="single" w:sz="4" w:space="0" w:color="E0E0E0"/>
            </w:tcBorders>
            <w:shd w:val="clear" w:color="auto" w:fill="auto"/>
            <w:noWrap/>
            <w:vAlign w:val="center"/>
            <w:hideMark/>
          </w:tcPr>
          <w:p w14:paraId="5D2DE2C0" w14:textId="77777777" w:rsidR="00C767B2" w:rsidRPr="00646913" w:rsidRDefault="00C767B2" w:rsidP="00EE205C">
            <w:pPr>
              <w:jc w:val="center"/>
              <w:rPr>
                <w:rFonts w:eastAsia="Times New Roman"/>
                <w:lang w:eastAsia="es-MX"/>
              </w:rPr>
            </w:pPr>
            <w:r w:rsidRPr="00646913">
              <w:rPr>
                <w:rFonts w:eastAsia="Times New Roman"/>
                <w:lang w:eastAsia="es-MX"/>
              </w:rPr>
              <w:t>1.465</w:t>
            </w:r>
          </w:p>
        </w:tc>
        <w:tc>
          <w:tcPr>
            <w:tcW w:w="160" w:type="dxa"/>
            <w:tcBorders>
              <w:top w:val="nil"/>
              <w:left w:val="nil"/>
              <w:bottom w:val="single" w:sz="4" w:space="0" w:color="AEAEAE"/>
              <w:right w:val="nil"/>
            </w:tcBorders>
          </w:tcPr>
          <w:p w14:paraId="4460C20E" w14:textId="77777777" w:rsidR="00C767B2" w:rsidRPr="00646913" w:rsidRDefault="00C767B2" w:rsidP="00EE205C">
            <w:pPr>
              <w:jc w:val="center"/>
              <w:rPr>
                <w:rFonts w:eastAsia="Times New Roman"/>
                <w:lang w:eastAsia="es-MX"/>
              </w:rPr>
            </w:pPr>
          </w:p>
        </w:tc>
      </w:tr>
      <w:tr w:rsidR="00C767B2" w:rsidRPr="00646913" w14:paraId="03ABA986" w14:textId="77777777" w:rsidTr="00EE205C">
        <w:trPr>
          <w:trHeight w:val="415"/>
          <w:jc w:val="center"/>
        </w:trPr>
        <w:tc>
          <w:tcPr>
            <w:tcW w:w="4689" w:type="dxa"/>
            <w:tcBorders>
              <w:top w:val="nil"/>
              <w:left w:val="nil"/>
              <w:bottom w:val="single" w:sz="4" w:space="0" w:color="AEAEAE"/>
              <w:right w:val="nil"/>
            </w:tcBorders>
            <w:shd w:val="clear" w:color="000000" w:fill="E0E0E0"/>
            <w:vAlign w:val="center"/>
            <w:hideMark/>
          </w:tcPr>
          <w:p w14:paraId="06887D15" w14:textId="77777777" w:rsidR="00C767B2" w:rsidRPr="00646913" w:rsidRDefault="00C767B2" w:rsidP="00EE205C">
            <w:pPr>
              <w:rPr>
                <w:rFonts w:eastAsia="Times New Roman"/>
                <w:lang w:eastAsia="es-MX"/>
              </w:rPr>
            </w:pPr>
            <w:r w:rsidRPr="00646913">
              <w:rPr>
                <w:rFonts w:eastAsia="Times New Roman"/>
                <w:lang w:eastAsia="es-MX"/>
              </w:rPr>
              <w:t>[6. ¿Le ha dicho chistes sucios o sexualmente ofensivos?]</w:t>
            </w:r>
          </w:p>
        </w:tc>
        <w:tc>
          <w:tcPr>
            <w:tcW w:w="1559" w:type="dxa"/>
            <w:tcBorders>
              <w:top w:val="nil"/>
              <w:left w:val="nil"/>
              <w:bottom w:val="single" w:sz="4" w:space="0" w:color="AEAEAE"/>
              <w:right w:val="single" w:sz="4" w:space="0" w:color="E0E0E0"/>
            </w:tcBorders>
            <w:shd w:val="clear" w:color="auto" w:fill="auto"/>
            <w:noWrap/>
            <w:vAlign w:val="center"/>
            <w:hideMark/>
          </w:tcPr>
          <w:p w14:paraId="3D333A76" w14:textId="77777777" w:rsidR="00C767B2" w:rsidRPr="00646913" w:rsidRDefault="00C767B2" w:rsidP="00EE205C">
            <w:pPr>
              <w:jc w:val="center"/>
              <w:rPr>
                <w:rFonts w:eastAsia="Times New Roman"/>
                <w:lang w:eastAsia="es-MX"/>
              </w:rPr>
            </w:pPr>
            <w:r w:rsidRPr="00646913">
              <w:rPr>
                <w:rFonts w:eastAsia="Times New Roman"/>
                <w:lang w:eastAsia="es-MX"/>
              </w:rPr>
              <w:t>1.89</w:t>
            </w:r>
          </w:p>
        </w:tc>
        <w:tc>
          <w:tcPr>
            <w:tcW w:w="1417" w:type="dxa"/>
            <w:tcBorders>
              <w:top w:val="nil"/>
              <w:left w:val="nil"/>
              <w:bottom w:val="single" w:sz="4" w:space="0" w:color="AEAEAE"/>
              <w:right w:val="single" w:sz="4" w:space="0" w:color="E0E0E0"/>
            </w:tcBorders>
            <w:shd w:val="clear" w:color="auto" w:fill="auto"/>
            <w:noWrap/>
            <w:vAlign w:val="center"/>
            <w:hideMark/>
          </w:tcPr>
          <w:p w14:paraId="7156A4AB" w14:textId="77777777" w:rsidR="00C767B2" w:rsidRPr="00646913" w:rsidRDefault="00C767B2" w:rsidP="00EE205C">
            <w:pPr>
              <w:jc w:val="center"/>
              <w:rPr>
                <w:rFonts w:eastAsia="Times New Roman"/>
                <w:lang w:eastAsia="es-MX"/>
              </w:rPr>
            </w:pPr>
            <w:r w:rsidRPr="00646913">
              <w:rPr>
                <w:rFonts w:eastAsia="Times New Roman"/>
                <w:lang w:eastAsia="es-MX"/>
              </w:rPr>
              <w:t>1.487</w:t>
            </w:r>
          </w:p>
        </w:tc>
        <w:tc>
          <w:tcPr>
            <w:tcW w:w="160" w:type="dxa"/>
            <w:tcBorders>
              <w:top w:val="nil"/>
              <w:left w:val="nil"/>
              <w:bottom w:val="single" w:sz="4" w:space="0" w:color="AEAEAE"/>
              <w:right w:val="nil"/>
            </w:tcBorders>
          </w:tcPr>
          <w:p w14:paraId="23F8323A" w14:textId="77777777" w:rsidR="00C767B2" w:rsidRPr="00646913" w:rsidRDefault="00C767B2" w:rsidP="00EE205C">
            <w:pPr>
              <w:jc w:val="center"/>
              <w:rPr>
                <w:rFonts w:eastAsia="Times New Roman"/>
                <w:lang w:eastAsia="es-MX"/>
              </w:rPr>
            </w:pPr>
          </w:p>
        </w:tc>
      </w:tr>
      <w:tr w:rsidR="00C767B2" w:rsidRPr="00646913" w14:paraId="6D1A3CD2" w14:textId="77777777" w:rsidTr="00EE205C">
        <w:trPr>
          <w:trHeight w:val="408"/>
          <w:jc w:val="center"/>
        </w:trPr>
        <w:tc>
          <w:tcPr>
            <w:tcW w:w="4689" w:type="dxa"/>
            <w:tcBorders>
              <w:top w:val="nil"/>
              <w:left w:val="nil"/>
              <w:bottom w:val="single" w:sz="4" w:space="0" w:color="AEAEAE"/>
              <w:right w:val="nil"/>
            </w:tcBorders>
            <w:shd w:val="clear" w:color="000000" w:fill="E0E0E0"/>
            <w:vAlign w:val="center"/>
            <w:hideMark/>
          </w:tcPr>
          <w:p w14:paraId="6B9333F9" w14:textId="77777777" w:rsidR="00C767B2" w:rsidRPr="00646913" w:rsidRDefault="00C767B2" w:rsidP="00EE205C">
            <w:pPr>
              <w:rPr>
                <w:rFonts w:eastAsia="Times New Roman"/>
                <w:lang w:eastAsia="es-MX"/>
              </w:rPr>
            </w:pPr>
            <w:r w:rsidRPr="00646913">
              <w:rPr>
                <w:rFonts w:eastAsia="Times New Roman"/>
                <w:lang w:eastAsia="es-MX"/>
              </w:rPr>
              <w:lastRenderedPageBreak/>
              <w:t>[7. ¿Le han dicho cosas sexuales groseras, ya sea en frente de otros o a usted sola?]</w:t>
            </w:r>
          </w:p>
        </w:tc>
        <w:tc>
          <w:tcPr>
            <w:tcW w:w="1559" w:type="dxa"/>
            <w:tcBorders>
              <w:top w:val="nil"/>
              <w:left w:val="nil"/>
              <w:bottom w:val="single" w:sz="4" w:space="0" w:color="AEAEAE"/>
              <w:right w:val="single" w:sz="4" w:space="0" w:color="E0E0E0"/>
            </w:tcBorders>
            <w:shd w:val="clear" w:color="auto" w:fill="auto"/>
            <w:noWrap/>
            <w:vAlign w:val="center"/>
            <w:hideMark/>
          </w:tcPr>
          <w:p w14:paraId="093DBD70" w14:textId="77777777" w:rsidR="00C767B2" w:rsidRPr="00646913" w:rsidRDefault="00C767B2" w:rsidP="00EE205C">
            <w:pPr>
              <w:jc w:val="center"/>
              <w:rPr>
                <w:rFonts w:eastAsia="Times New Roman"/>
                <w:lang w:eastAsia="es-MX"/>
              </w:rPr>
            </w:pPr>
            <w:r w:rsidRPr="00646913">
              <w:rPr>
                <w:rFonts w:eastAsia="Times New Roman"/>
                <w:lang w:eastAsia="es-MX"/>
              </w:rPr>
              <w:t>1.88</w:t>
            </w:r>
          </w:p>
        </w:tc>
        <w:tc>
          <w:tcPr>
            <w:tcW w:w="1417" w:type="dxa"/>
            <w:tcBorders>
              <w:top w:val="nil"/>
              <w:left w:val="nil"/>
              <w:bottom w:val="single" w:sz="4" w:space="0" w:color="AEAEAE"/>
              <w:right w:val="single" w:sz="4" w:space="0" w:color="E0E0E0"/>
            </w:tcBorders>
            <w:shd w:val="clear" w:color="auto" w:fill="auto"/>
            <w:noWrap/>
            <w:vAlign w:val="center"/>
            <w:hideMark/>
          </w:tcPr>
          <w:p w14:paraId="20992D68" w14:textId="77777777" w:rsidR="00C767B2" w:rsidRPr="00646913" w:rsidRDefault="00C767B2" w:rsidP="00EE205C">
            <w:pPr>
              <w:jc w:val="center"/>
              <w:rPr>
                <w:rFonts w:eastAsia="Times New Roman"/>
                <w:lang w:eastAsia="es-MX"/>
              </w:rPr>
            </w:pPr>
            <w:r w:rsidRPr="00646913">
              <w:rPr>
                <w:rFonts w:eastAsia="Times New Roman"/>
                <w:lang w:eastAsia="es-MX"/>
              </w:rPr>
              <w:t>1.565</w:t>
            </w:r>
          </w:p>
        </w:tc>
        <w:tc>
          <w:tcPr>
            <w:tcW w:w="160" w:type="dxa"/>
            <w:tcBorders>
              <w:top w:val="nil"/>
              <w:left w:val="nil"/>
              <w:bottom w:val="single" w:sz="4" w:space="0" w:color="AEAEAE"/>
              <w:right w:val="nil"/>
            </w:tcBorders>
          </w:tcPr>
          <w:p w14:paraId="2F6FBFB5" w14:textId="77777777" w:rsidR="00C767B2" w:rsidRPr="00646913" w:rsidRDefault="00C767B2" w:rsidP="00EE205C">
            <w:pPr>
              <w:jc w:val="center"/>
              <w:rPr>
                <w:rFonts w:eastAsia="Times New Roman"/>
                <w:lang w:eastAsia="es-MX"/>
              </w:rPr>
            </w:pPr>
          </w:p>
        </w:tc>
      </w:tr>
      <w:tr w:rsidR="00C767B2" w:rsidRPr="00646913" w14:paraId="5F4D1DCC" w14:textId="77777777" w:rsidTr="00EE205C">
        <w:trPr>
          <w:trHeight w:val="413"/>
          <w:jc w:val="center"/>
        </w:trPr>
        <w:tc>
          <w:tcPr>
            <w:tcW w:w="4689" w:type="dxa"/>
            <w:tcBorders>
              <w:top w:val="nil"/>
              <w:left w:val="nil"/>
              <w:bottom w:val="single" w:sz="4" w:space="0" w:color="AEAEAE"/>
              <w:right w:val="nil"/>
            </w:tcBorders>
            <w:shd w:val="clear" w:color="000000" w:fill="E0E0E0"/>
            <w:vAlign w:val="center"/>
            <w:hideMark/>
          </w:tcPr>
          <w:p w14:paraId="229C3BBA" w14:textId="77777777" w:rsidR="00C767B2" w:rsidRPr="00646913" w:rsidRDefault="00C767B2" w:rsidP="00EE205C">
            <w:pPr>
              <w:rPr>
                <w:rFonts w:eastAsia="Times New Roman"/>
                <w:lang w:eastAsia="es-MX"/>
              </w:rPr>
            </w:pPr>
            <w:r w:rsidRPr="00646913">
              <w:rPr>
                <w:rFonts w:eastAsia="Times New Roman"/>
                <w:lang w:eastAsia="es-MX"/>
              </w:rPr>
              <w:t>[8. ¿Le han comentado de su vida sexual o preferencias sexuales de él?]</w:t>
            </w:r>
          </w:p>
        </w:tc>
        <w:tc>
          <w:tcPr>
            <w:tcW w:w="1559" w:type="dxa"/>
            <w:tcBorders>
              <w:top w:val="nil"/>
              <w:left w:val="nil"/>
              <w:bottom w:val="single" w:sz="4" w:space="0" w:color="AEAEAE"/>
              <w:right w:val="single" w:sz="4" w:space="0" w:color="E0E0E0"/>
            </w:tcBorders>
            <w:shd w:val="clear" w:color="auto" w:fill="auto"/>
            <w:noWrap/>
            <w:vAlign w:val="center"/>
            <w:hideMark/>
          </w:tcPr>
          <w:p w14:paraId="5EAC16BA" w14:textId="77777777" w:rsidR="00C767B2" w:rsidRPr="00646913" w:rsidRDefault="00C767B2" w:rsidP="00EE205C">
            <w:pPr>
              <w:jc w:val="center"/>
              <w:rPr>
                <w:rFonts w:eastAsia="Times New Roman"/>
                <w:lang w:eastAsia="es-MX"/>
              </w:rPr>
            </w:pPr>
            <w:r w:rsidRPr="00646913">
              <w:rPr>
                <w:rFonts w:eastAsia="Times New Roman"/>
                <w:lang w:eastAsia="es-MX"/>
              </w:rPr>
              <w:t>1.73</w:t>
            </w:r>
          </w:p>
        </w:tc>
        <w:tc>
          <w:tcPr>
            <w:tcW w:w="1417" w:type="dxa"/>
            <w:tcBorders>
              <w:top w:val="nil"/>
              <w:left w:val="nil"/>
              <w:bottom w:val="single" w:sz="4" w:space="0" w:color="AEAEAE"/>
              <w:right w:val="single" w:sz="4" w:space="0" w:color="E0E0E0"/>
            </w:tcBorders>
            <w:shd w:val="clear" w:color="auto" w:fill="auto"/>
            <w:noWrap/>
            <w:vAlign w:val="center"/>
            <w:hideMark/>
          </w:tcPr>
          <w:p w14:paraId="0AF0B457" w14:textId="77777777" w:rsidR="00C767B2" w:rsidRPr="00646913" w:rsidRDefault="00C767B2" w:rsidP="00EE205C">
            <w:pPr>
              <w:jc w:val="center"/>
              <w:rPr>
                <w:rFonts w:eastAsia="Times New Roman"/>
                <w:lang w:eastAsia="es-MX"/>
              </w:rPr>
            </w:pPr>
            <w:r w:rsidRPr="00646913">
              <w:rPr>
                <w:rFonts w:eastAsia="Times New Roman"/>
                <w:lang w:eastAsia="es-MX"/>
              </w:rPr>
              <w:t>1.439</w:t>
            </w:r>
          </w:p>
        </w:tc>
        <w:tc>
          <w:tcPr>
            <w:tcW w:w="160" w:type="dxa"/>
            <w:tcBorders>
              <w:top w:val="nil"/>
              <w:left w:val="nil"/>
              <w:bottom w:val="single" w:sz="4" w:space="0" w:color="AEAEAE"/>
              <w:right w:val="nil"/>
            </w:tcBorders>
          </w:tcPr>
          <w:p w14:paraId="4F432E1E" w14:textId="77777777" w:rsidR="00C767B2" w:rsidRPr="00646913" w:rsidRDefault="00C767B2" w:rsidP="00EE205C">
            <w:pPr>
              <w:jc w:val="center"/>
              <w:rPr>
                <w:rFonts w:eastAsia="Times New Roman"/>
                <w:lang w:eastAsia="es-MX"/>
              </w:rPr>
            </w:pPr>
          </w:p>
        </w:tc>
      </w:tr>
      <w:tr w:rsidR="00C767B2" w:rsidRPr="00646913" w14:paraId="0845EE2D" w14:textId="77777777" w:rsidTr="00EE205C">
        <w:trPr>
          <w:trHeight w:val="703"/>
          <w:jc w:val="center"/>
        </w:trPr>
        <w:tc>
          <w:tcPr>
            <w:tcW w:w="4689" w:type="dxa"/>
            <w:tcBorders>
              <w:top w:val="nil"/>
              <w:left w:val="nil"/>
              <w:bottom w:val="single" w:sz="4" w:space="0" w:color="AEAEAE"/>
              <w:right w:val="nil"/>
            </w:tcBorders>
            <w:shd w:val="clear" w:color="000000" w:fill="E0E0E0"/>
            <w:vAlign w:val="center"/>
            <w:hideMark/>
          </w:tcPr>
          <w:p w14:paraId="2C7D0057" w14:textId="77777777" w:rsidR="00C767B2" w:rsidRPr="00646913" w:rsidRDefault="00C767B2" w:rsidP="00EE205C">
            <w:pPr>
              <w:rPr>
                <w:rFonts w:eastAsia="Times New Roman"/>
                <w:lang w:eastAsia="es-MX"/>
              </w:rPr>
            </w:pPr>
            <w:r w:rsidRPr="00646913">
              <w:rPr>
                <w:rFonts w:eastAsia="Times New Roman"/>
                <w:lang w:eastAsia="es-MX"/>
              </w:rPr>
              <w:t>[9. ¿Han tratado de tener una relación sexual o romántica a pesar de que usted trató de decirle que no quería?]</w:t>
            </w:r>
          </w:p>
        </w:tc>
        <w:tc>
          <w:tcPr>
            <w:tcW w:w="1559" w:type="dxa"/>
            <w:tcBorders>
              <w:top w:val="nil"/>
              <w:left w:val="nil"/>
              <w:bottom w:val="single" w:sz="4" w:space="0" w:color="AEAEAE"/>
              <w:right w:val="single" w:sz="4" w:space="0" w:color="E0E0E0"/>
            </w:tcBorders>
            <w:shd w:val="clear" w:color="auto" w:fill="auto"/>
            <w:noWrap/>
            <w:vAlign w:val="center"/>
            <w:hideMark/>
          </w:tcPr>
          <w:p w14:paraId="5282CC4A" w14:textId="77777777" w:rsidR="00C767B2" w:rsidRPr="00646913" w:rsidRDefault="00C767B2" w:rsidP="00EE205C">
            <w:pPr>
              <w:jc w:val="center"/>
              <w:rPr>
                <w:rFonts w:eastAsia="Times New Roman"/>
                <w:lang w:eastAsia="es-MX"/>
              </w:rPr>
            </w:pPr>
            <w:r w:rsidRPr="00646913">
              <w:rPr>
                <w:rFonts w:eastAsia="Times New Roman"/>
                <w:lang w:eastAsia="es-MX"/>
              </w:rPr>
              <w:t>1.66</w:t>
            </w:r>
          </w:p>
        </w:tc>
        <w:tc>
          <w:tcPr>
            <w:tcW w:w="1417" w:type="dxa"/>
            <w:tcBorders>
              <w:top w:val="nil"/>
              <w:left w:val="nil"/>
              <w:bottom w:val="single" w:sz="4" w:space="0" w:color="AEAEAE"/>
              <w:right w:val="single" w:sz="4" w:space="0" w:color="E0E0E0"/>
            </w:tcBorders>
            <w:shd w:val="clear" w:color="auto" w:fill="auto"/>
            <w:noWrap/>
            <w:vAlign w:val="center"/>
            <w:hideMark/>
          </w:tcPr>
          <w:p w14:paraId="7EE4260B" w14:textId="77777777" w:rsidR="00C767B2" w:rsidRPr="00646913" w:rsidRDefault="00C767B2" w:rsidP="00EE205C">
            <w:pPr>
              <w:jc w:val="center"/>
              <w:rPr>
                <w:rFonts w:eastAsia="Times New Roman"/>
                <w:lang w:eastAsia="es-MX"/>
              </w:rPr>
            </w:pPr>
            <w:r w:rsidRPr="00646913">
              <w:rPr>
                <w:rFonts w:eastAsia="Times New Roman"/>
                <w:lang w:eastAsia="es-MX"/>
              </w:rPr>
              <w:t>1.498</w:t>
            </w:r>
          </w:p>
        </w:tc>
        <w:tc>
          <w:tcPr>
            <w:tcW w:w="160" w:type="dxa"/>
            <w:tcBorders>
              <w:top w:val="nil"/>
              <w:left w:val="nil"/>
              <w:bottom w:val="single" w:sz="4" w:space="0" w:color="AEAEAE"/>
              <w:right w:val="nil"/>
            </w:tcBorders>
          </w:tcPr>
          <w:p w14:paraId="11947B2B" w14:textId="77777777" w:rsidR="00C767B2" w:rsidRPr="00646913" w:rsidRDefault="00C767B2" w:rsidP="00EE205C">
            <w:pPr>
              <w:jc w:val="center"/>
              <w:rPr>
                <w:rFonts w:eastAsia="Times New Roman"/>
                <w:lang w:eastAsia="es-MX"/>
              </w:rPr>
            </w:pPr>
          </w:p>
        </w:tc>
      </w:tr>
      <w:tr w:rsidR="00C767B2" w:rsidRPr="00646913" w14:paraId="290B097C" w14:textId="77777777" w:rsidTr="00EE205C">
        <w:trPr>
          <w:trHeight w:val="415"/>
          <w:jc w:val="center"/>
        </w:trPr>
        <w:tc>
          <w:tcPr>
            <w:tcW w:w="4689" w:type="dxa"/>
            <w:tcBorders>
              <w:top w:val="nil"/>
              <w:left w:val="nil"/>
              <w:bottom w:val="single" w:sz="4" w:space="0" w:color="AEAEAE"/>
              <w:right w:val="nil"/>
            </w:tcBorders>
            <w:shd w:val="clear" w:color="000000" w:fill="E0E0E0"/>
            <w:vAlign w:val="center"/>
            <w:hideMark/>
          </w:tcPr>
          <w:p w14:paraId="7DCEE7BF" w14:textId="77777777" w:rsidR="00C767B2" w:rsidRPr="00646913" w:rsidRDefault="00C767B2" w:rsidP="00EE205C">
            <w:pPr>
              <w:rPr>
                <w:rFonts w:eastAsia="Times New Roman"/>
                <w:lang w:eastAsia="es-MX"/>
              </w:rPr>
            </w:pPr>
            <w:r w:rsidRPr="00646913">
              <w:rPr>
                <w:rFonts w:eastAsia="Times New Roman"/>
                <w:lang w:eastAsia="es-MX"/>
              </w:rPr>
              <w:t>[10. ¿Le han insistido en salir a pesar de que usted dijo que no?]</w:t>
            </w:r>
          </w:p>
        </w:tc>
        <w:tc>
          <w:tcPr>
            <w:tcW w:w="1559" w:type="dxa"/>
            <w:tcBorders>
              <w:top w:val="nil"/>
              <w:left w:val="nil"/>
              <w:bottom w:val="single" w:sz="4" w:space="0" w:color="AEAEAE"/>
              <w:right w:val="single" w:sz="4" w:space="0" w:color="E0E0E0"/>
            </w:tcBorders>
            <w:shd w:val="clear" w:color="auto" w:fill="auto"/>
            <w:noWrap/>
            <w:vAlign w:val="center"/>
            <w:hideMark/>
          </w:tcPr>
          <w:p w14:paraId="059D7B75" w14:textId="77777777" w:rsidR="00C767B2" w:rsidRPr="00646913" w:rsidRDefault="00C767B2" w:rsidP="00EE205C">
            <w:pPr>
              <w:jc w:val="center"/>
              <w:rPr>
                <w:rFonts w:eastAsia="Times New Roman"/>
                <w:lang w:eastAsia="es-MX"/>
              </w:rPr>
            </w:pPr>
            <w:r w:rsidRPr="00646913">
              <w:rPr>
                <w:rFonts w:eastAsia="Times New Roman"/>
                <w:lang w:eastAsia="es-MX"/>
              </w:rPr>
              <w:t>1.75</w:t>
            </w:r>
          </w:p>
        </w:tc>
        <w:tc>
          <w:tcPr>
            <w:tcW w:w="1417" w:type="dxa"/>
            <w:tcBorders>
              <w:top w:val="nil"/>
              <w:left w:val="nil"/>
              <w:bottom w:val="single" w:sz="4" w:space="0" w:color="AEAEAE"/>
              <w:right w:val="single" w:sz="4" w:space="0" w:color="E0E0E0"/>
            </w:tcBorders>
            <w:shd w:val="clear" w:color="auto" w:fill="auto"/>
            <w:noWrap/>
            <w:vAlign w:val="center"/>
            <w:hideMark/>
          </w:tcPr>
          <w:p w14:paraId="0595EEBB" w14:textId="77777777" w:rsidR="00C767B2" w:rsidRPr="00646913" w:rsidRDefault="00C767B2" w:rsidP="00EE205C">
            <w:pPr>
              <w:jc w:val="center"/>
              <w:rPr>
                <w:rFonts w:eastAsia="Times New Roman"/>
                <w:lang w:eastAsia="es-MX"/>
              </w:rPr>
            </w:pPr>
            <w:r w:rsidRPr="00646913">
              <w:rPr>
                <w:rFonts w:eastAsia="Times New Roman"/>
                <w:lang w:eastAsia="es-MX"/>
              </w:rPr>
              <w:t>1.551</w:t>
            </w:r>
          </w:p>
        </w:tc>
        <w:tc>
          <w:tcPr>
            <w:tcW w:w="160" w:type="dxa"/>
            <w:tcBorders>
              <w:top w:val="nil"/>
              <w:left w:val="nil"/>
              <w:bottom w:val="single" w:sz="4" w:space="0" w:color="AEAEAE"/>
              <w:right w:val="nil"/>
            </w:tcBorders>
          </w:tcPr>
          <w:p w14:paraId="63F42A63" w14:textId="77777777" w:rsidR="00C767B2" w:rsidRPr="00646913" w:rsidRDefault="00C767B2" w:rsidP="00EE205C">
            <w:pPr>
              <w:jc w:val="center"/>
              <w:rPr>
                <w:rFonts w:eastAsia="Times New Roman"/>
                <w:lang w:eastAsia="es-MX"/>
              </w:rPr>
            </w:pPr>
          </w:p>
        </w:tc>
      </w:tr>
      <w:tr w:rsidR="00C767B2" w:rsidRPr="00646913" w14:paraId="6C4FAF26" w14:textId="77777777" w:rsidTr="00EE205C">
        <w:trPr>
          <w:trHeight w:val="705"/>
          <w:jc w:val="center"/>
        </w:trPr>
        <w:tc>
          <w:tcPr>
            <w:tcW w:w="4689" w:type="dxa"/>
            <w:tcBorders>
              <w:top w:val="nil"/>
              <w:left w:val="nil"/>
              <w:bottom w:val="single" w:sz="4" w:space="0" w:color="AEAEAE"/>
              <w:right w:val="nil"/>
            </w:tcBorders>
            <w:shd w:val="clear" w:color="000000" w:fill="E0E0E0"/>
            <w:vAlign w:val="center"/>
            <w:hideMark/>
          </w:tcPr>
          <w:p w14:paraId="277794A5" w14:textId="77777777" w:rsidR="00C767B2" w:rsidRPr="00646913" w:rsidRDefault="00C767B2" w:rsidP="00EE205C">
            <w:pPr>
              <w:rPr>
                <w:rFonts w:eastAsia="Times New Roman"/>
                <w:lang w:eastAsia="es-MX"/>
              </w:rPr>
            </w:pPr>
            <w:r w:rsidRPr="00646913">
              <w:rPr>
                <w:rFonts w:eastAsia="Times New Roman"/>
                <w:lang w:eastAsia="es-MX"/>
              </w:rPr>
              <w:t>[11. ¿La han mirado (la mira demasiado) de forma sexual que le hizo sentir incómoda o sucia, o le mira partes de su cuerpo (por ejemplo, le mira los pechos)?]</w:t>
            </w:r>
          </w:p>
        </w:tc>
        <w:tc>
          <w:tcPr>
            <w:tcW w:w="1559" w:type="dxa"/>
            <w:tcBorders>
              <w:top w:val="nil"/>
              <w:left w:val="nil"/>
              <w:bottom w:val="single" w:sz="4" w:space="0" w:color="AEAEAE"/>
              <w:right w:val="single" w:sz="4" w:space="0" w:color="E0E0E0"/>
            </w:tcBorders>
            <w:shd w:val="clear" w:color="auto" w:fill="auto"/>
            <w:noWrap/>
            <w:vAlign w:val="center"/>
            <w:hideMark/>
          </w:tcPr>
          <w:p w14:paraId="318E3311" w14:textId="77777777" w:rsidR="00C767B2" w:rsidRPr="00646913" w:rsidRDefault="00C767B2" w:rsidP="00EE205C">
            <w:pPr>
              <w:jc w:val="center"/>
              <w:rPr>
                <w:rFonts w:eastAsia="Times New Roman"/>
                <w:lang w:eastAsia="es-MX"/>
              </w:rPr>
            </w:pPr>
            <w:r w:rsidRPr="00646913">
              <w:rPr>
                <w:rFonts w:eastAsia="Times New Roman"/>
                <w:lang w:eastAsia="es-MX"/>
              </w:rPr>
              <w:t>1.99</w:t>
            </w:r>
          </w:p>
        </w:tc>
        <w:tc>
          <w:tcPr>
            <w:tcW w:w="1417" w:type="dxa"/>
            <w:tcBorders>
              <w:top w:val="nil"/>
              <w:left w:val="nil"/>
              <w:bottom w:val="single" w:sz="4" w:space="0" w:color="AEAEAE"/>
              <w:right w:val="single" w:sz="4" w:space="0" w:color="E0E0E0"/>
            </w:tcBorders>
            <w:shd w:val="clear" w:color="auto" w:fill="auto"/>
            <w:noWrap/>
            <w:vAlign w:val="center"/>
            <w:hideMark/>
          </w:tcPr>
          <w:p w14:paraId="3749E4B3" w14:textId="77777777" w:rsidR="00C767B2" w:rsidRPr="00646913" w:rsidRDefault="00C767B2" w:rsidP="00EE205C">
            <w:pPr>
              <w:jc w:val="center"/>
              <w:rPr>
                <w:rFonts w:eastAsia="Times New Roman"/>
                <w:lang w:eastAsia="es-MX"/>
              </w:rPr>
            </w:pPr>
            <w:r w:rsidRPr="00646913">
              <w:rPr>
                <w:rFonts w:eastAsia="Times New Roman"/>
                <w:lang w:eastAsia="es-MX"/>
              </w:rPr>
              <w:t>1.648</w:t>
            </w:r>
          </w:p>
        </w:tc>
        <w:tc>
          <w:tcPr>
            <w:tcW w:w="160" w:type="dxa"/>
            <w:tcBorders>
              <w:top w:val="nil"/>
              <w:left w:val="nil"/>
              <w:bottom w:val="single" w:sz="4" w:space="0" w:color="AEAEAE"/>
              <w:right w:val="nil"/>
            </w:tcBorders>
          </w:tcPr>
          <w:p w14:paraId="28D7727B" w14:textId="77777777" w:rsidR="00C767B2" w:rsidRPr="00646913" w:rsidRDefault="00C767B2" w:rsidP="00EE205C">
            <w:pPr>
              <w:jc w:val="center"/>
              <w:rPr>
                <w:rFonts w:eastAsia="Times New Roman"/>
                <w:lang w:eastAsia="es-MX"/>
              </w:rPr>
            </w:pPr>
          </w:p>
        </w:tc>
      </w:tr>
      <w:tr w:rsidR="00C767B2" w:rsidRPr="00646913" w14:paraId="50A53079" w14:textId="77777777" w:rsidTr="00EE205C">
        <w:trPr>
          <w:trHeight w:val="687"/>
          <w:jc w:val="center"/>
        </w:trPr>
        <w:tc>
          <w:tcPr>
            <w:tcW w:w="4689" w:type="dxa"/>
            <w:tcBorders>
              <w:top w:val="nil"/>
              <w:left w:val="nil"/>
              <w:bottom w:val="single" w:sz="4" w:space="0" w:color="AEAEAE"/>
              <w:right w:val="nil"/>
            </w:tcBorders>
            <w:shd w:val="clear" w:color="000000" w:fill="E0E0E0"/>
            <w:vAlign w:val="center"/>
            <w:hideMark/>
          </w:tcPr>
          <w:p w14:paraId="47FF362C" w14:textId="77777777" w:rsidR="00C767B2" w:rsidRPr="00646913" w:rsidRDefault="00C767B2" w:rsidP="00EE205C">
            <w:pPr>
              <w:rPr>
                <w:rFonts w:eastAsia="Times New Roman"/>
                <w:lang w:eastAsia="es-MX"/>
              </w:rPr>
            </w:pPr>
            <w:r w:rsidRPr="00646913">
              <w:rPr>
                <w:rFonts w:eastAsia="Times New Roman"/>
                <w:lang w:eastAsia="es-MX"/>
              </w:rPr>
              <w:t>[12. ¿La han tocado (por ejemplo, puso sus brazos alrededor de sus hombros) de una manera que la hizo sentir incómoda?]</w:t>
            </w:r>
          </w:p>
        </w:tc>
        <w:tc>
          <w:tcPr>
            <w:tcW w:w="1559" w:type="dxa"/>
            <w:tcBorders>
              <w:top w:val="nil"/>
              <w:left w:val="nil"/>
              <w:bottom w:val="single" w:sz="4" w:space="0" w:color="AEAEAE"/>
              <w:right w:val="single" w:sz="4" w:space="0" w:color="E0E0E0"/>
            </w:tcBorders>
            <w:shd w:val="clear" w:color="auto" w:fill="auto"/>
            <w:noWrap/>
            <w:vAlign w:val="center"/>
            <w:hideMark/>
          </w:tcPr>
          <w:p w14:paraId="24CE0915" w14:textId="77777777" w:rsidR="00C767B2" w:rsidRPr="00646913" w:rsidRDefault="00C767B2" w:rsidP="00EE205C">
            <w:pPr>
              <w:jc w:val="center"/>
              <w:rPr>
                <w:rFonts w:eastAsia="Times New Roman"/>
                <w:lang w:eastAsia="es-MX"/>
              </w:rPr>
            </w:pPr>
            <w:r w:rsidRPr="00646913">
              <w:rPr>
                <w:rFonts w:eastAsia="Times New Roman"/>
                <w:lang w:eastAsia="es-MX"/>
              </w:rPr>
              <w:t>1.81</w:t>
            </w:r>
          </w:p>
        </w:tc>
        <w:tc>
          <w:tcPr>
            <w:tcW w:w="1417" w:type="dxa"/>
            <w:tcBorders>
              <w:top w:val="nil"/>
              <w:left w:val="nil"/>
              <w:bottom w:val="single" w:sz="4" w:space="0" w:color="AEAEAE"/>
              <w:right w:val="single" w:sz="4" w:space="0" w:color="E0E0E0"/>
            </w:tcBorders>
            <w:shd w:val="clear" w:color="auto" w:fill="auto"/>
            <w:noWrap/>
            <w:vAlign w:val="center"/>
            <w:hideMark/>
          </w:tcPr>
          <w:p w14:paraId="0F3F2EF8" w14:textId="77777777" w:rsidR="00C767B2" w:rsidRPr="00646913" w:rsidRDefault="00C767B2" w:rsidP="00EE205C">
            <w:pPr>
              <w:jc w:val="center"/>
              <w:rPr>
                <w:rFonts w:eastAsia="Times New Roman"/>
                <w:lang w:eastAsia="es-MX"/>
              </w:rPr>
            </w:pPr>
            <w:r w:rsidRPr="00646913">
              <w:rPr>
                <w:rFonts w:eastAsia="Times New Roman"/>
                <w:lang w:eastAsia="es-MX"/>
              </w:rPr>
              <w:t>1.606</w:t>
            </w:r>
          </w:p>
        </w:tc>
        <w:tc>
          <w:tcPr>
            <w:tcW w:w="160" w:type="dxa"/>
            <w:tcBorders>
              <w:top w:val="nil"/>
              <w:left w:val="nil"/>
              <w:bottom w:val="single" w:sz="4" w:space="0" w:color="AEAEAE"/>
              <w:right w:val="nil"/>
            </w:tcBorders>
          </w:tcPr>
          <w:p w14:paraId="05F98663" w14:textId="77777777" w:rsidR="00C767B2" w:rsidRPr="00646913" w:rsidRDefault="00C767B2" w:rsidP="00EE205C">
            <w:pPr>
              <w:jc w:val="center"/>
              <w:rPr>
                <w:rFonts w:eastAsia="Times New Roman"/>
                <w:lang w:eastAsia="es-MX"/>
              </w:rPr>
            </w:pPr>
          </w:p>
        </w:tc>
      </w:tr>
      <w:tr w:rsidR="00C767B2" w:rsidRPr="00646913" w14:paraId="6DAEF651" w14:textId="77777777" w:rsidTr="00EE205C">
        <w:trPr>
          <w:trHeight w:val="428"/>
          <w:jc w:val="center"/>
        </w:trPr>
        <w:tc>
          <w:tcPr>
            <w:tcW w:w="4689" w:type="dxa"/>
            <w:tcBorders>
              <w:top w:val="nil"/>
              <w:left w:val="nil"/>
              <w:bottom w:val="single" w:sz="4" w:space="0" w:color="AEAEAE"/>
              <w:right w:val="nil"/>
            </w:tcBorders>
            <w:shd w:val="clear" w:color="000000" w:fill="E0E0E0"/>
            <w:vAlign w:val="center"/>
            <w:hideMark/>
          </w:tcPr>
          <w:p w14:paraId="6C4167BF" w14:textId="77777777" w:rsidR="00C767B2" w:rsidRPr="00646913" w:rsidRDefault="00C767B2" w:rsidP="00EE205C">
            <w:pPr>
              <w:rPr>
                <w:rFonts w:eastAsia="Times New Roman"/>
                <w:lang w:eastAsia="es-MX"/>
              </w:rPr>
            </w:pPr>
            <w:r w:rsidRPr="00646913">
              <w:rPr>
                <w:rFonts w:eastAsia="Times New Roman"/>
                <w:lang w:eastAsia="es-MX"/>
              </w:rPr>
              <w:t>[13. ¿Han hecho ruidos semejantes a besos o le ha silbado?]</w:t>
            </w:r>
          </w:p>
        </w:tc>
        <w:tc>
          <w:tcPr>
            <w:tcW w:w="1559" w:type="dxa"/>
            <w:tcBorders>
              <w:top w:val="nil"/>
              <w:left w:val="nil"/>
              <w:bottom w:val="single" w:sz="4" w:space="0" w:color="AEAEAE"/>
              <w:right w:val="single" w:sz="4" w:space="0" w:color="E0E0E0"/>
            </w:tcBorders>
            <w:shd w:val="clear" w:color="auto" w:fill="auto"/>
            <w:noWrap/>
            <w:vAlign w:val="center"/>
            <w:hideMark/>
          </w:tcPr>
          <w:p w14:paraId="243609C4" w14:textId="77777777" w:rsidR="00C767B2" w:rsidRPr="00646913" w:rsidRDefault="00C767B2" w:rsidP="00EE205C">
            <w:pPr>
              <w:jc w:val="center"/>
              <w:rPr>
                <w:rFonts w:eastAsia="Times New Roman"/>
                <w:lang w:eastAsia="es-MX"/>
              </w:rPr>
            </w:pPr>
            <w:r w:rsidRPr="00646913">
              <w:rPr>
                <w:rFonts w:eastAsia="Times New Roman"/>
                <w:lang w:eastAsia="es-MX"/>
              </w:rPr>
              <w:t>1.84</w:t>
            </w:r>
          </w:p>
        </w:tc>
        <w:tc>
          <w:tcPr>
            <w:tcW w:w="1417" w:type="dxa"/>
            <w:tcBorders>
              <w:top w:val="nil"/>
              <w:left w:val="nil"/>
              <w:bottom w:val="single" w:sz="4" w:space="0" w:color="AEAEAE"/>
              <w:right w:val="single" w:sz="4" w:space="0" w:color="E0E0E0"/>
            </w:tcBorders>
            <w:shd w:val="clear" w:color="auto" w:fill="auto"/>
            <w:noWrap/>
            <w:vAlign w:val="center"/>
            <w:hideMark/>
          </w:tcPr>
          <w:p w14:paraId="482175F3" w14:textId="77777777" w:rsidR="00C767B2" w:rsidRPr="00646913" w:rsidRDefault="00C767B2" w:rsidP="00EE205C">
            <w:pPr>
              <w:jc w:val="center"/>
              <w:rPr>
                <w:rFonts w:eastAsia="Times New Roman"/>
                <w:lang w:eastAsia="es-MX"/>
              </w:rPr>
            </w:pPr>
            <w:r w:rsidRPr="00646913">
              <w:rPr>
                <w:rFonts w:eastAsia="Times New Roman"/>
                <w:lang w:eastAsia="es-MX"/>
              </w:rPr>
              <w:t>1.679</w:t>
            </w:r>
          </w:p>
        </w:tc>
        <w:tc>
          <w:tcPr>
            <w:tcW w:w="160" w:type="dxa"/>
            <w:tcBorders>
              <w:top w:val="nil"/>
              <w:left w:val="nil"/>
              <w:bottom w:val="single" w:sz="4" w:space="0" w:color="AEAEAE"/>
              <w:right w:val="nil"/>
            </w:tcBorders>
          </w:tcPr>
          <w:p w14:paraId="46B6CBA3" w14:textId="77777777" w:rsidR="00C767B2" w:rsidRPr="00646913" w:rsidRDefault="00C767B2" w:rsidP="00EE205C">
            <w:pPr>
              <w:jc w:val="center"/>
              <w:rPr>
                <w:rFonts w:eastAsia="Times New Roman"/>
                <w:lang w:eastAsia="es-MX"/>
              </w:rPr>
            </w:pPr>
          </w:p>
        </w:tc>
      </w:tr>
      <w:tr w:rsidR="00C767B2" w:rsidRPr="00646913" w14:paraId="26BE6DE4" w14:textId="77777777" w:rsidTr="00EE205C">
        <w:trPr>
          <w:trHeight w:val="689"/>
          <w:jc w:val="center"/>
        </w:trPr>
        <w:tc>
          <w:tcPr>
            <w:tcW w:w="4689" w:type="dxa"/>
            <w:tcBorders>
              <w:top w:val="nil"/>
              <w:left w:val="nil"/>
              <w:bottom w:val="single" w:sz="4" w:space="0" w:color="AEAEAE"/>
              <w:right w:val="nil"/>
            </w:tcBorders>
            <w:shd w:val="clear" w:color="000000" w:fill="E0E0E0"/>
            <w:vAlign w:val="center"/>
            <w:hideMark/>
          </w:tcPr>
          <w:p w14:paraId="6C2C73EA" w14:textId="77777777" w:rsidR="00C767B2" w:rsidRPr="00646913" w:rsidRDefault="00C767B2" w:rsidP="00EE205C">
            <w:pPr>
              <w:rPr>
                <w:rFonts w:eastAsia="Times New Roman"/>
                <w:lang w:eastAsia="es-MX"/>
              </w:rPr>
            </w:pPr>
            <w:r w:rsidRPr="00646913">
              <w:rPr>
                <w:rFonts w:eastAsia="Times New Roman"/>
                <w:lang w:eastAsia="es-MX"/>
              </w:rPr>
              <w:t>[14. ¿Le han hecho comentarios sobre su apariencia física o de ropa de una manera que la hizo sentir incómoda?]</w:t>
            </w:r>
          </w:p>
        </w:tc>
        <w:tc>
          <w:tcPr>
            <w:tcW w:w="1559" w:type="dxa"/>
            <w:tcBorders>
              <w:top w:val="nil"/>
              <w:left w:val="nil"/>
              <w:bottom w:val="single" w:sz="4" w:space="0" w:color="AEAEAE"/>
              <w:right w:val="single" w:sz="4" w:space="0" w:color="E0E0E0"/>
            </w:tcBorders>
            <w:shd w:val="clear" w:color="auto" w:fill="auto"/>
            <w:noWrap/>
            <w:vAlign w:val="center"/>
            <w:hideMark/>
          </w:tcPr>
          <w:p w14:paraId="0067C6D5" w14:textId="77777777" w:rsidR="00C767B2" w:rsidRPr="00646913" w:rsidRDefault="00C767B2" w:rsidP="00EE205C">
            <w:pPr>
              <w:jc w:val="center"/>
              <w:rPr>
                <w:rFonts w:eastAsia="Times New Roman"/>
                <w:lang w:eastAsia="es-MX"/>
              </w:rPr>
            </w:pPr>
            <w:r w:rsidRPr="00646913">
              <w:rPr>
                <w:rFonts w:eastAsia="Times New Roman"/>
                <w:lang w:eastAsia="es-MX"/>
              </w:rPr>
              <w:t>1.94</w:t>
            </w:r>
          </w:p>
        </w:tc>
        <w:tc>
          <w:tcPr>
            <w:tcW w:w="1417" w:type="dxa"/>
            <w:tcBorders>
              <w:top w:val="nil"/>
              <w:left w:val="nil"/>
              <w:bottom w:val="single" w:sz="4" w:space="0" w:color="AEAEAE"/>
              <w:right w:val="single" w:sz="4" w:space="0" w:color="E0E0E0"/>
            </w:tcBorders>
            <w:shd w:val="clear" w:color="auto" w:fill="auto"/>
            <w:noWrap/>
            <w:vAlign w:val="center"/>
            <w:hideMark/>
          </w:tcPr>
          <w:p w14:paraId="28437F5F" w14:textId="77777777" w:rsidR="00C767B2" w:rsidRPr="00646913" w:rsidRDefault="00C767B2" w:rsidP="00EE205C">
            <w:pPr>
              <w:jc w:val="center"/>
              <w:rPr>
                <w:rFonts w:eastAsia="Times New Roman"/>
                <w:lang w:eastAsia="es-MX"/>
              </w:rPr>
            </w:pPr>
            <w:r w:rsidRPr="00646913">
              <w:rPr>
                <w:rFonts w:eastAsia="Times New Roman"/>
                <w:lang w:eastAsia="es-MX"/>
              </w:rPr>
              <w:t>1.678</w:t>
            </w:r>
          </w:p>
        </w:tc>
        <w:tc>
          <w:tcPr>
            <w:tcW w:w="160" w:type="dxa"/>
            <w:tcBorders>
              <w:top w:val="nil"/>
              <w:left w:val="nil"/>
              <w:bottom w:val="single" w:sz="4" w:space="0" w:color="AEAEAE"/>
              <w:right w:val="nil"/>
            </w:tcBorders>
          </w:tcPr>
          <w:p w14:paraId="407A1683" w14:textId="77777777" w:rsidR="00C767B2" w:rsidRPr="00646913" w:rsidRDefault="00C767B2" w:rsidP="00EE205C">
            <w:pPr>
              <w:jc w:val="center"/>
              <w:rPr>
                <w:rFonts w:eastAsia="Times New Roman"/>
                <w:lang w:eastAsia="es-MX"/>
              </w:rPr>
            </w:pPr>
          </w:p>
        </w:tc>
      </w:tr>
      <w:tr w:rsidR="00C767B2" w:rsidRPr="00646913" w14:paraId="74655223" w14:textId="77777777" w:rsidTr="00EE205C">
        <w:trPr>
          <w:trHeight w:val="420"/>
          <w:jc w:val="center"/>
        </w:trPr>
        <w:tc>
          <w:tcPr>
            <w:tcW w:w="4689" w:type="dxa"/>
            <w:tcBorders>
              <w:top w:val="nil"/>
              <w:left w:val="nil"/>
              <w:bottom w:val="single" w:sz="4" w:space="0" w:color="AEAEAE"/>
              <w:right w:val="nil"/>
            </w:tcBorders>
            <w:shd w:val="clear" w:color="000000" w:fill="E0E0E0"/>
            <w:vAlign w:val="center"/>
            <w:hideMark/>
          </w:tcPr>
          <w:p w14:paraId="728A968C" w14:textId="77777777" w:rsidR="00C767B2" w:rsidRPr="00646913" w:rsidRDefault="00C767B2" w:rsidP="00EE205C">
            <w:pPr>
              <w:rPr>
                <w:rFonts w:eastAsia="Times New Roman"/>
                <w:lang w:eastAsia="es-MX"/>
              </w:rPr>
            </w:pPr>
            <w:r w:rsidRPr="00646913">
              <w:rPr>
                <w:rFonts w:eastAsia="Times New Roman"/>
                <w:lang w:eastAsia="es-MX"/>
              </w:rPr>
              <w:t>[15. ¿La han mirado lentamente todo su cuerpo (“mirándole de arriba hacia abajo)?]</w:t>
            </w:r>
          </w:p>
        </w:tc>
        <w:tc>
          <w:tcPr>
            <w:tcW w:w="1559" w:type="dxa"/>
            <w:tcBorders>
              <w:top w:val="nil"/>
              <w:left w:val="nil"/>
              <w:bottom w:val="single" w:sz="4" w:space="0" w:color="AEAEAE"/>
              <w:right w:val="single" w:sz="4" w:space="0" w:color="E0E0E0"/>
            </w:tcBorders>
            <w:shd w:val="clear" w:color="auto" w:fill="auto"/>
            <w:noWrap/>
            <w:vAlign w:val="center"/>
            <w:hideMark/>
          </w:tcPr>
          <w:p w14:paraId="49BE6714" w14:textId="77777777" w:rsidR="00C767B2" w:rsidRPr="00646913" w:rsidRDefault="00C767B2" w:rsidP="00EE205C">
            <w:pPr>
              <w:jc w:val="center"/>
              <w:rPr>
                <w:rFonts w:eastAsia="Times New Roman"/>
                <w:lang w:eastAsia="es-MX"/>
              </w:rPr>
            </w:pPr>
            <w:r w:rsidRPr="00646913">
              <w:rPr>
                <w:rFonts w:eastAsia="Times New Roman"/>
                <w:lang w:eastAsia="es-MX"/>
              </w:rPr>
              <w:t>2.00</w:t>
            </w:r>
          </w:p>
        </w:tc>
        <w:tc>
          <w:tcPr>
            <w:tcW w:w="1417" w:type="dxa"/>
            <w:tcBorders>
              <w:top w:val="nil"/>
              <w:left w:val="nil"/>
              <w:bottom w:val="single" w:sz="4" w:space="0" w:color="AEAEAE"/>
              <w:right w:val="single" w:sz="4" w:space="0" w:color="E0E0E0"/>
            </w:tcBorders>
            <w:shd w:val="clear" w:color="auto" w:fill="auto"/>
            <w:noWrap/>
            <w:vAlign w:val="center"/>
            <w:hideMark/>
          </w:tcPr>
          <w:p w14:paraId="28854B99" w14:textId="77777777" w:rsidR="00C767B2" w:rsidRPr="00646913" w:rsidRDefault="00C767B2" w:rsidP="00EE205C">
            <w:pPr>
              <w:jc w:val="center"/>
              <w:rPr>
                <w:rFonts w:eastAsia="Times New Roman"/>
                <w:lang w:eastAsia="es-MX"/>
              </w:rPr>
            </w:pPr>
            <w:r w:rsidRPr="00646913">
              <w:rPr>
                <w:rFonts w:eastAsia="Times New Roman"/>
                <w:lang w:eastAsia="es-MX"/>
              </w:rPr>
              <w:t>1.676</w:t>
            </w:r>
          </w:p>
        </w:tc>
        <w:tc>
          <w:tcPr>
            <w:tcW w:w="160" w:type="dxa"/>
            <w:tcBorders>
              <w:top w:val="nil"/>
              <w:left w:val="nil"/>
              <w:bottom w:val="single" w:sz="4" w:space="0" w:color="AEAEAE"/>
              <w:right w:val="nil"/>
            </w:tcBorders>
          </w:tcPr>
          <w:p w14:paraId="1CB2048D" w14:textId="77777777" w:rsidR="00C767B2" w:rsidRPr="00646913" w:rsidRDefault="00C767B2" w:rsidP="00EE205C">
            <w:pPr>
              <w:jc w:val="center"/>
              <w:rPr>
                <w:rFonts w:eastAsia="Times New Roman"/>
                <w:lang w:eastAsia="es-MX"/>
              </w:rPr>
            </w:pPr>
          </w:p>
        </w:tc>
      </w:tr>
      <w:tr w:rsidR="00C767B2" w:rsidRPr="00646913" w14:paraId="6DC925D2" w14:textId="77777777" w:rsidTr="00EE205C">
        <w:trPr>
          <w:trHeight w:val="426"/>
          <w:jc w:val="center"/>
        </w:trPr>
        <w:tc>
          <w:tcPr>
            <w:tcW w:w="4689" w:type="dxa"/>
            <w:tcBorders>
              <w:top w:val="nil"/>
              <w:left w:val="nil"/>
              <w:bottom w:val="single" w:sz="4" w:space="0" w:color="AEAEAE"/>
              <w:right w:val="nil"/>
            </w:tcBorders>
            <w:shd w:val="clear" w:color="000000" w:fill="E0E0E0"/>
            <w:vAlign w:val="center"/>
            <w:hideMark/>
          </w:tcPr>
          <w:p w14:paraId="6E0CFC67" w14:textId="77777777" w:rsidR="00C767B2" w:rsidRPr="00646913" w:rsidRDefault="00C767B2" w:rsidP="00EE205C">
            <w:pPr>
              <w:rPr>
                <w:rFonts w:eastAsia="Times New Roman"/>
                <w:lang w:eastAsia="es-MX"/>
              </w:rPr>
            </w:pPr>
            <w:r w:rsidRPr="00646913">
              <w:rPr>
                <w:rFonts w:eastAsia="Times New Roman"/>
                <w:lang w:eastAsia="es-MX"/>
              </w:rPr>
              <w:t>[16. ¿La han hecho sentir incómoda acercándose mucho a usted?]</w:t>
            </w:r>
          </w:p>
        </w:tc>
        <w:tc>
          <w:tcPr>
            <w:tcW w:w="1559" w:type="dxa"/>
            <w:tcBorders>
              <w:top w:val="nil"/>
              <w:left w:val="nil"/>
              <w:bottom w:val="single" w:sz="4" w:space="0" w:color="AEAEAE"/>
              <w:right w:val="single" w:sz="4" w:space="0" w:color="E0E0E0"/>
            </w:tcBorders>
            <w:shd w:val="clear" w:color="auto" w:fill="auto"/>
            <w:noWrap/>
            <w:vAlign w:val="center"/>
            <w:hideMark/>
          </w:tcPr>
          <w:p w14:paraId="033BE6A5" w14:textId="77777777" w:rsidR="00C767B2" w:rsidRPr="00646913" w:rsidRDefault="00C767B2" w:rsidP="00EE205C">
            <w:pPr>
              <w:jc w:val="center"/>
              <w:rPr>
                <w:rFonts w:eastAsia="Times New Roman"/>
                <w:lang w:eastAsia="es-MX"/>
              </w:rPr>
            </w:pPr>
            <w:r w:rsidRPr="00646913">
              <w:rPr>
                <w:rFonts w:eastAsia="Times New Roman"/>
                <w:lang w:eastAsia="es-MX"/>
              </w:rPr>
              <w:t>1.97</w:t>
            </w:r>
          </w:p>
        </w:tc>
        <w:tc>
          <w:tcPr>
            <w:tcW w:w="1417" w:type="dxa"/>
            <w:tcBorders>
              <w:top w:val="nil"/>
              <w:left w:val="nil"/>
              <w:bottom w:val="single" w:sz="4" w:space="0" w:color="AEAEAE"/>
              <w:right w:val="single" w:sz="4" w:space="0" w:color="E0E0E0"/>
            </w:tcBorders>
            <w:shd w:val="clear" w:color="auto" w:fill="auto"/>
            <w:noWrap/>
            <w:vAlign w:val="center"/>
            <w:hideMark/>
          </w:tcPr>
          <w:p w14:paraId="2C0BF8B9" w14:textId="77777777" w:rsidR="00C767B2" w:rsidRPr="00646913" w:rsidRDefault="00C767B2" w:rsidP="00EE205C">
            <w:pPr>
              <w:jc w:val="center"/>
              <w:rPr>
                <w:rFonts w:eastAsia="Times New Roman"/>
                <w:lang w:eastAsia="es-MX"/>
              </w:rPr>
            </w:pPr>
            <w:r w:rsidRPr="00646913">
              <w:rPr>
                <w:rFonts w:eastAsia="Times New Roman"/>
                <w:lang w:eastAsia="es-MX"/>
              </w:rPr>
              <w:t>1.660</w:t>
            </w:r>
          </w:p>
        </w:tc>
        <w:tc>
          <w:tcPr>
            <w:tcW w:w="160" w:type="dxa"/>
            <w:tcBorders>
              <w:top w:val="nil"/>
              <w:left w:val="nil"/>
              <w:bottom w:val="single" w:sz="4" w:space="0" w:color="AEAEAE"/>
              <w:right w:val="nil"/>
            </w:tcBorders>
          </w:tcPr>
          <w:p w14:paraId="62518E33" w14:textId="77777777" w:rsidR="00C767B2" w:rsidRPr="00646913" w:rsidRDefault="00C767B2" w:rsidP="00EE205C">
            <w:pPr>
              <w:jc w:val="center"/>
              <w:rPr>
                <w:rFonts w:eastAsia="Times New Roman"/>
                <w:lang w:eastAsia="es-MX"/>
              </w:rPr>
            </w:pPr>
          </w:p>
        </w:tc>
      </w:tr>
      <w:tr w:rsidR="00C767B2" w:rsidRPr="00646913" w14:paraId="49BC0D6E" w14:textId="77777777" w:rsidTr="00EE205C">
        <w:trPr>
          <w:trHeight w:val="418"/>
          <w:jc w:val="center"/>
        </w:trPr>
        <w:tc>
          <w:tcPr>
            <w:tcW w:w="4689" w:type="dxa"/>
            <w:tcBorders>
              <w:top w:val="nil"/>
              <w:left w:val="nil"/>
              <w:bottom w:val="single" w:sz="4" w:space="0" w:color="152935"/>
              <w:right w:val="nil"/>
            </w:tcBorders>
            <w:shd w:val="clear" w:color="000000" w:fill="E0E0E0"/>
            <w:vAlign w:val="center"/>
            <w:hideMark/>
          </w:tcPr>
          <w:p w14:paraId="58BCEDB0" w14:textId="77777777" w:rsidR="00C767B2" w:rsidRPr="00646913" w:rsidRDefault="00C767B2" w:rsidP="00EE205C">
            <w:pPr>
              <w:rPr>
                <w:rFonts w:eastAsia="Times New Roman"/>
                <w:lang w:eastAsia="es-MX"/>
              </w:rPr>
            </w:pPr>
            <w:r w:rsidRPr="00646913">
              <w:rPr>
                <w:rFonts w:eastAsia="Times New Roman"/>
                <w:lang w:eastAsia="es-MX"/>
              </w:rPr>
              <w:t>[17. ¿La han llamado por nombres inapropiados (por ejemplo, “mamacita” o “mi hija”)?]</w:t>
            </w:r>
          </w:p>
        </w:tc>
        <w:tc>
          <w:tcPr>
            <w:tcW w:w="1559" w:type="dxa"/>
            <w:tcBorders>
              <w:top w:val="nil"/>
              <w:left w:val="nil"/>
              <w:bottom w:val="single" w:sz="4" w:space="0" w:color="152935"/>
              <w:right w:val="single" w:sz="4" w:space="0" w:color="E0E0E0"/>
            </w:tcBorders>
            <w:shd w:val="clear" w:color="auto" w:fill="auto"/>
            <w:noWrap/>
            <w:vAlign w:val="center"/>
            <w:hideMark/>
          </w:tcPr>
          <w:p w14:paraId="62F75147" w14:textId="77777777" w:rsidR="00C767B2" w:rsidRPr="00646913" w:rsidRDefault="00C767B2" w:rsidP="00EE205C">
            <w:pPr>
              <w:jc w:val="center"/>
              <w:rPr>
                <w:rFonts w:eastAsia="Times New Roman"/>
                <w:lang w:eastAsia="es-MX"/>
              </w:rPr>
            </w:pPr>
            <w:r w:rsidRPr="00646913">
              <w:rPr>
                <w:rFonts w:eastAsia="Times New Roman"/>
                <w:lang w:eastAsia="es-MX"/>
              </w:rPr>
              <w:t>1.79</w:t>
            </w:r>
          </w:p>
        </w:tc>
        <w:tc>
          <w:tcPr>
            <w:tcW w:w="1417" w:type="dxa"/>
            <w:tcBorders>
              <w:top w:val="nil"/>
              <w:left w:val="nil"/>
              <w:bottom w:val="single" w:sz="4" w:space="0" w:color="152935"/>
              <w:right w:val="single" w:sz="4" w:space="0" w:color="E0E0E0"/>
            </w:tcBorders>
            <w:shd w:val="clear" w:color="auto" w:fill="auto"/>
            <w:noWrap/>
            <w:vAlign w:val="center"/>
            <w:hideMark/>
          </w:tcPr>
          <w:p w14:paraId="44F5F08D" w14:textId="77777777" w:rsidR="00C767B2" w:rsidRPr="00646913" w:rsidRDefault="00C767B2" w:rsidP="00EE205C">
            <w:pPr>
              <w:jc w:val="center"/>
              <w:rPr>
                <w:rFonts w:eastAsia="Times New Roman"/>
                <w:lang w:eastAsia="es-MX"/>
              </w:rPr>
            </w:pPr>
            <w:r w:rsidRPr="00646913">
              <w:rPr>
                <w:rFonts w:eastAsia="Times New Roman"/>
                <w:lang w:eastAsia="es-MX"/>
              </w:rPr>
              <w:t>1.577</w:t>
            </w:r>
          </w:p>
        </w:tc>
        <w:tc>
          <w:tcPr>
            <w:tcW w:w="160" w:type="dxa"/>
            <w:tcBorders>
              <w:top w:val="nil"/>
              <w:left w:val="nil"/>
              <w:bottom w:val="single" w:sz="4" w:space="0" w:color="152935"/>
              <w:right w:val="nil"/>
            </w:tcBorders>
          </w:tcPr>
          <w:p w14:paraId="2A1A304F" w14:textId="77777777" w:rsidR="00C767B2" w:rsidRPr="00646913" w:rsidRDefault="00C767B2" w:rsidP="00EE205C">
            <w:pPr>
              <w:jc w:val="center"/>
              <w:rPr>
                <w:rFonts w:eastAsia="Times New Roman"/>
                <w:lang w:eastAsia="es-MX"/>
              </w:rPr>
            </w:pPr>
          </w:p>
        </w:tc>
      </w:tr>
    </w:tbl>
    <w:p w14:paraId="4E5C20C8" w14:textId="4CC8E489" w:rsidR="00C767B2" w:rsidRPr="00646913" w:rsidRDefault="00C767B2" w:rsidP="00C767B2">
      <w:pPr>
        <w:spacing w:before="240" w:after="240" w:line="360" w:lineRule="auto"/>
        <w:jc w:val="both"/>
        <w:rPr>
          <w:bCs/>
          <w:lang w:val="es-ES_tradnl" w:eastAsia="es-ES_tradnl"/>
        </w:rPr>
      </w:pPr>
      <w:r w:rsidRPr="00646913">
        <w:rPr>
          <w:bCs/>
          <w:lang w:eastAsia="es-ES_tradnl"/>
        </w:rPr>
        <w:t>Fu</w:t>
      </w:r>
      <w:r w:rsidR="00AC5A77">
        <w:rPr>
          <w:bCs/>
          <w:lang w:eastAsia="es-ES_tradnl"/>
        </w:rPr>
        <w:t xml:space="preserve">ente: a partir de  </w:t>
      </w:r>
      <w:sdt>
        <w:sdtPr>
          <w:rPr>
            <w:bCs/>
            <w:lang w:eastAsia="es-ES_tradnl"/>
          </w:rPr>
          <w:id w:val="-4288859"/>
          <w:citation/>
        </w:sdtPr>
        <w:sdtEndPr/>
        <w:sdtContent>
          <w:r w:rsidR="00AC5A77">
            <w:rPr>
              <w:bCs/>
              <w:lang w:eastAsia="es-ES_tradnl"/>
            </w:rPr>
            <w:fldChar w:fldCharType="begin"/>
          </w:r>
          <w:r w:rsidR="00AC5A77">
            <w:rPr>
              <w:bCs/>
              <w:lang w:val="es-MX" w:eastAsia="es-ES_tradnl"/>
            </w:rPr>
            <w:instrText xml:space="preserve"> CITATION Cor011 \l 2058 </w:instrText>
          </w:r>
          <w:r w:rsidR="00AC5A77">
            <w:rPr>
              <w:bCs/>
              <w:lang w:eastAsia="es-ES_tradnl"/>
            </w:rPr>
            <w:fldChar w:fldCharType="separate"/>
          </w:r>
          <w:r w:rsidR="00AC5A77" w:rsidRPr="00AC5A77">
            <w:rPr>
              <w:noProof/>
              <w:lang w:val="es-MX" w:eastAsia="es-ES_tradnl"/>
            </w:rPr>
            <w:t>(Cortina, 2001)</w:t>
          </w:r>
          <w:r w:rsidR="00AC5A77">
            <w:rPr>
              <w:bCs/>
              <w:lang w:eastAsia="es-ES_tradnl"/>
            </w:rPr>
            <w:fldChar w:fldCharType="end"/>
          </w:r>
        </w:sdtContent>
      </w:sdt>
      <w:r w:rsidRPr="00646913">
        <w:rPr>
          <w:bCs/>
          <w:lang w:eastAsia="es-ES_tradnl"/>
        </w:rPr>
        <w:t xml:space="preserve">. </w:t>
      </w:r>
      <w:r w:rsidRPr="00646913">
        <w:rPr>
          <w:bCs/>
          <w:lang w:val="es-ES_tradnl" w:eastAsia="es-ES_tradnl"/>
        </w:rPr>
        <w:t xml:space="preserve">Para la evaluación del cuestionario se utilizó una escala Likert de 5 puntos donde 1 es totalmente en desacuerdo y 5 totalmente de acuerdo. </w:t>
      </w:r>
    </w:p>
    <w:p w14:paraId="6C267B25" w14:textId="2ECFDD67" w:rsidR="006A6EF0" w:rsidRPr="006A6EF0" w:rsidRDefault="006A6EF0" w:rsidP="00C767B2">
      <w:pPr>
        <w:spacing w:line="360" w:lineRule="auto"/>
        <w:jc w:val="both"/>
        <w:rPr>
          <w:b/>
          <w:bCs/>
          <w:sz w:val="28"/>
          <w:szCs w:val="28"/>
        </w:rPr>
      </w:pPr>
      <w:r w:rsidRPr="006A6EF0">
        <w:rPr>
          <w:b/>
          <w:bCs/>
          <w:sz w:val="28"/>
          <w:szCs w:val="28"/>
        </w:rPr>
        <w:t>Resultados</w:t>
      </w:r>
    </w:p>
    <w:p w14:paraId="3F62811B" w14:textId="45EB3A40" w:rsidR="00C767B2" w:rsidRPr="00646913" w:rsidRDefault="00C767B2" w:rsidP="00C767B2">
      <w:pPr>
        <w:spacing w:line="360" w:lineRule="auto"/>
        <w:jc w:val="both"/>
        <w:rPr>
          <w:b/>
          <w:bCs/>
        </w:rPr>
      </w:pPr>
      <w:r w:rsidRPr="00646913">
        <w:rPr>
          <w:b/>
          <w:bCs/>
        </w:rPr>
        <w:t>Análisis factorial exploratorio</w:t>
      </w:r>
    </w:p>
    <w:p w14:paraId="40FFCA97" w14:textId="77777777" w:rsidR="00C767B2" w:rsidRPr="00646913" w:rsidRDefault="00C767B2" w:rsidP="00C767B2">
      <w:pPr>
        <w:spacing w:line="360" w:lineRule="auto"/>
        <w:ind w:firstLine="708"/>
        <w:jc w:val="both"/>
      </w:pPr>
      <w:r w:rsidRPr="00646913">
        <w:t xml:space="preserve">Para validar el cuestionario, se realizó un análisis factorial exploratorio. El objetivo de este método multivariado es reducir el número de variables a un factor común. Para determinar la adecuación de la prueba de análisis factorial exploratorio se calculó la media de adecuación </w:t>
      </w:r>
      <w:proofErr w:type="spellStart"/>
      <w:r w:rsidRPr="00646913">
        <w:t>muestral</w:t>
      </w:r>
      <w:proofErr w:type="spellEnd"/>
      <w:r w:rsidRPr="00646913">
        <w:t xml:space="preserve"> de </w:t>
      </w:r>
      <w:proofErr w:type="spellStart"/>
      <w:r w:rsidRPr="00646913">
        <w:t>Kaiser</w:t>
      </w:r>
      <w:proofErr w:type="spellEnd"/>
      <w:r w:rsidRPr="00646913">
        <w:t xml:space="preserve">, Meyer, </w:t>
      </w:r>
      <w:proofErr w:type="spellStart"/>
      <w:r w:rsidRPr="00646913">
        <w:t>Olkin</w:t>
      </w:r>
      <w:proofErr w:type="spellEnd"/>
      <w:r w:rsidRPr="00646913">
        <w:t xml:space="preserve"> (KMO) que contrasta si las correlaciones parciales entre las variables son muy pequeñas. Permite comparar la magnitud de los coeficientes de correlación observados con la magnitud de los coeficientes de correlación parcial. El estadístico KMO está </w:t>
      </w:r>
      <w:r w:rsidRPr="00646913">
        <w:lastRenderedPageBreak/>
        <w:t xml:space="preserve">entre 0 y 1. Los valores pequeños indican que el análisis factorial no es adecuado. En este caso los valores obtenidos en la prueba KMO son cercanos a 1, además se calculó la prueba de esfericidad de </w:t>
      </w:r>
      <w:proofErr w:type="spellStart"/>
      <w:r w:rsidRPr="00646913">
        <w:t>Barlett</w:t>
      </w:r>
      <w:proofErr w:type="spellEnd"/>
      <w:r w:rsidRPr="00646913">
        <w:t xml:space="preserve">, como se observa en la siguiente tabla: </w:t>
      </w:r>
    </w:p>
    <w:p w14:paraId="300BDE45" w14:textId="77777777" w:rsidR="00C767B2" w:rsidRPr="00646913" w:rsidRDefault="00C767B2" w:rsidP="00C767B2">
      <w:pPr>
        <w:spacing w:line="360" w:lineRule="auto"/>
        <w:jc w:val="both"/>
        <w:rPr>
          <w:b/>
          <w:bCs/>
        </w:rPr>
      </w:pPr>
      <w:r w:rsidRPr="00646913">
        <w:rPr>
          <w:b/>
          <w:bCs/>
        </w:rPr>
        <w:t>Tabla 2. Prueba de KMO y Bartlett.</w:t>
      </w:r>
    </w:p>
    <w:tbl>
      <w:tblPr>
        <w:tblW w:w="6320" w:type="dxa"/>
        <w:jc w:val="center"/>
        <w:tblCellMar>
          <w:left w:w="70" w:type="dxa"/>
          <w:right w:w="70" w:type="dxa"/>
        </w:tblCellMar>
        <w:tblLook w:val="04A0" w:firstRow="1" w:lastRow="0" w:firstColumn="1" w:lastColumn="0" w:noHBand="0" w:noVBand="1"/>
      </w:tblPr>
      <w:tblGrid>
        <w:gridCol w:w="2380"/>
        <w:gridCol w:w="1900"/>
        <w:gridCol w:w="2040"/>
      </w:tblGrid>
      <w:tr w:rsidR="00C767B2" w:rsidRPr="00646913" w14:paraId="7FA8EE55" w14:textId="77777777" w:rsidTr="00EE205C">
        <w:trPr>
          <w:trHeight w:val="420"/>
          <w:jc w:val="center"/>
        </w:trPr>
        <w:tc>
          <w:tcPr>
            <w:tcW w:w="6320" w:type="dxa"/>
            <w:gridSpan w:val="3"/>
            <w:tcBorders>
              <w:top w:val="nil"/>
              <w:left w:val="nil"/>
              <w:bottom w:val="nil"/>
              <w:right w:val="nil"/>
            </w:tcBorders>
            <w:shd w:val="clear" w:color="auto" w:fill="auto"/>
            <w:vAlign w:val="center"/>
            <w:hideMark/>
          </w:tcPr>
          <w:p w14:paraId="525AC79F" w14:textId="77777777" w:rsidR="00C767B2" w:rsidRPr="00646913" w:rsidRDefault="00C767B2" w:rsidP="00EE205C">
            <w:pPr>
              <w:jc w:val="center"/>
              <w:rPr>
                <w:rFonts w:eastAsia="Times New Roman"/>
                <w:b/>
                <w:bCs/>
                <w:lang w:eastAsia="es-MX"/>
              </w:rPr>
            </w:pPr>
          </w:p>
        </w:tc>
      </w:tr>
      <w:tr w:rsidR="00C767B2" w:rsidRPr="00646913" w14:paraId="31CC5AB3" w14:textId="77777777" w:rsidTr="00EE205C">
        <w:trPr>
          <w:trHeight w:val="600"/>
          <w:jc w:val="center"/>
        </w:trPr>
        <w:tc>
          <w:tcPr>
            <w:tcW w:w="4280" w:type="dxa"/>
            <w:gridSpan w:val="2"/>
            <w:tcBorders>
              <w:top w:val="nil"/>
              <w:left w:val="nil"/>
              <w:bottom w:val="single" w:sz="4" w:space="0" w:color="AEAEAE"/>
              <w:right w:val="nil"/>
            </w:tcBorders>
            <w:shd w:val="clear" w:color="000000" w:fill="E0E0E0"/>
            <w:vAlign w:val="center"/>
            <w:hideMark/>
          </w:tcPr>
          <w:p w14:paraId="0ECC2F57" w14:textId="77777777" w:rsidR="00C767B2" w:rsidRPr="00646913" w:rsidRDefault="00C767B2" w:rsidP="00EE205C">
            <w:pPr>
              <w:jc w:val="center"/>
              <w:rPr>
                <w:rFonts w:eastAsia="Times New Roman"/>
                <w:lang w:eastAsia="es-MX"/>
              </w:rPr>
            </w:pPr>
            <w:r w:rsidRPr="00646913">
              <w:rPr>
                <w:rFonts w:eastAsia="Times New Roman"/>
                <w:lang w:eastAsia="es-MX"/>
              </w:rPr>
              <w:t xml:space="preserve">Medida </w:t>
            </w:r>
            <w:proofErr w:type="spellStart"/>
            <w:r w:rsidRPr="00646913">
              <w:rPr>
                <w:rFonts w:eastAsia="Times New Roman"/>
                <w:lang w:eastAsia="es-MX"/>
              </w:rPr>
              <w:t>Kaiser</w:t>
            </w:r>
            <w:proofErr w:type="spellEnd"/>
            <w:r w:rsidRPr="00646913">
              <w:rPr>
                <w:rFonts w:eastAsia="Times New Roman"/>
                <w:lang w:eastAsia="es-MX"/>
              </w:rPr>
              <w:t>-Meyer-</w:t>
            </w:r>
            <w:proofErr w:type="spellStart"/>
            <w:r w:rsidRPr="00646913">
              <w:rPr>
                <w:rFonts w:eastAsia="Times New Roman"/>
                <w:lang w:eastAsia="es-MX"/>
              </w:rPr>
              <w:t>Olkin</w:t>
            </w:r>
            <w:proofErr w:type="spellEnd"/>
            <w:r w:rsidRPr="00646913">
              <w:rPr>
                <w:rFonts w:eastAsia="Times New Roman"/>
                <w:lang w:eastAsia="es-MX"/>
              </w:rPr>
              <w:t xml:space="preserve"> de adecuación de muestreo</w:t>
            </w:r>
          </w:p>
        </w:tc>
        <w:tc>
          <w:tcPr>
            <w:tcW w:w="2040" w:type="dxa"/>
            <w:tcBorders>
              <w:top w:val="nil"/>
              <w:left w:val="nil"/>
              <w:bottom w:val="single" w:sz="4" w:space="0" w:color="AEAEAE"/>
              <w:right w:val="nil"/>
            </w:tcBorders>
            <w:shd w:val="clear" w:color="auto" w:fill="auto"/>
            <w:noWrap/>
            <w:vAlign w:val="center"/>
            <w:hideMark/>
          </w:tcPr>
          <w:p w14:paraId="4A40C4D7" w14:textId="77777777" w:rsidR="00C767B2" w:rsidRPr="00646913" w:rsidRDefault="00C767B2" w:rsidP="00EE205C">
            <w:pPr>
              <w:jc w:val="center"/>
              <w:rPr>
                <w:rFonts w:eastAsia="Times New Roman"/>
                <w:lang w:eastAsia="es-MX"/>
              </w:rPr>
            </w:pPr>
            <w:r w:rsidRPr="00646913">
              <w:rPr>
                <w:rFonts w:eastAsia="Times New Roman"/>
                <w:lang w:eastAsia="es-MX"/>
              </w:rPr>
              <w:t>0.959</w:t>
            </w:r>
          </w:p>
        </w:tc>
      </w:tr>
      <w:tr w:rsidR="00C767B2" w:rsidRPr="00646913" w14:paraId="0B86D08F" w14:textId="77777777" w:rsidTr="00EE205C">
        <w:trPr>
          <w:trHeight w:val="342"/>
          <w:jc w:val="center"/>
        </w:trPr>
        <w:tc>
          <w:tcPr>
            <w:tcW w:w="2380" w:type="dxa"/>
            <w:vMerge w:val="restart"/>
            <w:tcBorders>
              <w:top w:val="nil"/>
              <w:left w:val="nil"/>
              <w:bottom w:val="single" w:sz="4" w:space="0" w:color="152935"/>
              <w:right w:val="nil"/>
            </w:tcBorders>
            <w:shd w:val="clear" w:color="000000" w:fill="E0E0E0"/>
            <w:vAlign w:val="center"/>
            <w:hideMark/>
          </w:tcPr>
          <w:p w14:paraId="07C062C4" w14:textId="77777777" w:rsidR="00C767B2" w:rsidRPr="00646913" w:rsidRDefault="00C767B2" w:rsidP="00EE205C">
            <w:pPr>
              <w:jc w:val="center"/>
              <w:rPr>
                <w:rFonts w:eastAsia="Times New Roman"/>
                <w:lang w:eastAsia="es-MX"/>
              </w:rPr>
            </w:pPr>
            <w:r w:rsidRPr="00646913">
              <w:rPr>
                <w:rFonts w:eastAsia="Times New Roman"/>
                <w:lang w:eastAsia="es-MX"/>
              </w:rPr>
              <w:t>Prueba de esfericidad de Bartlett</w:t>
            </w:r>
          </w:p>
        </w:tc>
        <w:tc>
          <w:tcPr>
            <w:tcW w:w="1900" w:type="dxa"/>
            <w:tcBorders>
              <w:top w:val="nil"/>
              <w:left w:val="nil"/>
              <w:bottom w:val="single" w:sz="4" w:space="0" w:color="AEAEAE"/>
              <w:right w:val="nil"/>
            </w:tcBorders>
            <w:shd w:val="clear" w:color="000000" w:fill="E0E0E0"/>
            <w:vAlign w:val="center"/>
            <w:hideMark/>
          </w:tcPr>
          <w:p w14:paraId="7A99B598" w14:textId="77777777" w:rsidR="00C767B2" w:rsidRPr="00646913" w:rsidRDefault="00C767B2" w:rsidP="00EE205C">
            <w:pPr>
              <w:jc w:val="center"/>
              <w:rPr>
                <w:rFonts w:eastAsia="Times New Roman"/>
                <w:lang w:eastAsia="es-MX"/>
              </w:rPr>
            </w:pPr>
            <w:r w:rsidRPr="00646913">
              <w:rPr>
                <w:rFonts w:eastAsia="Times New Roman"/>
                <w:lang w:eastAsia="es-MX"/>
              </w:rPr>
              <w:t>Aprox. Chi-cuadrado</w:t>
            </w:r>
          </w:p>
        </w:tc>
        <w:tc>
          <w:tcPr>
            <w:tcW w:w="2040" w:type="dxa"/>
            <w:tcBorders>
              <w:top w:val="nil"/>
              <w:left w:val="nil"/>
              <w:bottom w:val="single" w:sz="4" w:space="0" w:color="AEAEAE"/>
              <w:right w:val="nil"/>
            </w:tcBorders>
            <w:shd w:val="clear" w:color="auto" w:fill="auto"/>
            <w:noWrap/>
            <w:vAlign w:val="center"/>
            <w:hideMark/>
          </w:tcPr>
          <w:p w14:paraId="75D8717D" w14:textId="77777777" w:rsidR="00C767B2" w:rsidRPr="00646913" w:rsidRDefault="00C767B2" w:rsidP="00EE205C">
            <w:pPr>
              <w:jc w:val="center"/>
              <w:rPr>
                <w:rFonts w:eastAsia="Times New Roman"/>
                <w:lang w:eastAsia="es-MX"/>
              </w:rPr>
            </w:pPr>
            <w:r w:rsidRPr="00646913">
              <w:rPr>
                <w:rFonts w:eastAsia="Times New Roman"/>
                <w:lang w:eastAsia="es-MX"/>
              </w:rPr>
              <w:t>8672.576</w:t>
            </w:r>
          </w:p>
        </w:tc>
      </w:tr>
      <w:tr w:rsidR="00C767B2" w:rsidRPr="00646913" w14:paraId="201ABF31" w14:textId="77777777" w:rsidTr="00EE205C">
        <w:trPr>
          <w:trHeight w:val="342"/>
          <w:jc w:val="center"/>
        </w:trPr>
        <w:tc>
          <w:tcPr>
            <w:tcW w:w="2380" w:type="dxa"/>
            <w:vMerge/>
            <w:tcBorders>
              <w:top w:val="nil"/>
              <w:left w:val="nil"/>
              <w:bottom w:val="single" w:sz="4" w:space="0" w:color="152935"/>
              <w:right w:val="nil"/>
            </w:tcBorders>
            <w:vAlign w:val="center"/>
            <w:hideMark/>
          </w:tcPr>
          <w:p w14:paraId="4DFBB313" w14:textId="77777777" w:rsidR="00C767B2" w:rsidRPr="00646913" w:rsidRDefault="00C767B2" w:rsidP="00EE205C">
            <w:pPr>
              <w:jc w:val="center"/>
              <w:rPr>
                <w:rFonts w:eastAsia="Times New Roman"/>
                <w:lang w:eastAsia="es-MX"/>
              </w:rPr>
            </w:pPr>
          </w:p>
        </w:tc>
        <w:tc>
          <w:tcPr>
            <w:tcW w:w="1900" w:type="dxa"/>
            <w:tcBorders>
              <w:top w:val="nil"/>
              <w:left w:val="nil"/>
              <w:bottom w:val="single" w:sz="4" w:space="0" w:color="AEAEAE"/>
              <w:right w:val="nil"/>
            </w:tcBorders>
            <w:shd w:val="clear" w:color="000000" w:fill="E0E0E0"/>
            <w:vAlign w:val="center"/>
            <w:hideMark/>
          </w:tcPr>
          <w:p w14:paraId="4C11B16D" w14:textId="77777777" w:rsidR="00C767B2" w:rsidRPr="00646913" w:rsidRDefault="00C767B2" w:rsidP="00EE205C">
            <w:pPr>
              <w:jc w:val="center"/>
              <w:rPr>
                <w:rFonts w:eastAsia="Times New Roman"/>
                <w:lang w:eastAsia="es-MX"/>
              </w:rPr>
            </w:pPr>
            <w:proofErr w:type="spellStart"/>
            <w:r w:rsidRPr="00646913">
              <w:rPr>
                <w:rFonts w:eastAsia="Times New Roman"/>
                <w:lang w:eastAsia="es-MX"/>
              </w:rPr>
              <w:t>gl</w:t>
            </w:r>
            <w:proofErr w:type="spellEnd"/>
          </w:p>
        </w:tc>
        <w:tc>
          <w:tcPr>
            <w:tcW w:w="2040" w:type="dxa"/>
            <w:tcBorders>
              <w:top w:val="nil"/>
              <w:left w:val="nil"/>
              <w:bottom w:val="single" w:sz="4" w:space="0" w:color="AEAEAE"/>
              <w:right w:val="nil"/>
            </w:tcBorders>
            <w:shd w:val="clear" w:color="auto" w:fill="auto"/>
            <w:noWrap/>
            <w:vAlign w:val="center"/>
            <w:hideMark/>
          </w:tcPr>
          <w:p w14:paraId="5DD06E0D" w14:textId="77777777" w:rsidR="00C767B2" w:rsidRPr="00646913" w:rsidRDefault="00C767B2" w:rsidP="00EE205C">
            <w:pPr>
              <w:jc w:val="center"/>
              <w:rPr>
                <w:rFonts w:eastAsia="Times New Roman"/>
                <w:lang w:eastAsia="es-MX"/>
              </w:rPr>
            </w:pPr>
            <w:r w:rsidRPr="00646913">
              <w:rPr>
                <w:rFonts w:eastAsia="Times New Roman"/>
                <w:lang w:eastAsia="es-MX"/>
              </w:rPr>
              <w:t>136</w:t>
            </w:r>
          </w:p>
        </w:tc>
      </w:tr>
      <w:tr w:rsidR="00C767B2" w:rsidRPr="00646913" w14:paraId="0A2F3AA9" w14:textId="77777777" w:rsidTr="00EE205C">
        <w:trPr>
          <w:trHeight w:val="342"/>
          <w:jc w:val="center"/>
        </w:trPr>
        <w:tc>
          <w:tcPr>
            <w:tcW w:w="2380" w:type="dxa"/>
            <w:vMerge/>
            <w:tcBorders>
              <w:top w:val="nil"/>
              <w:left w:val="nil"/>
              <w:bottom w:val="single" w:sz="4" w:space="0" w:color="152935"/>
              <w:right w:val="nil"/>
            </w:tcBorders>
            <w:vAlign w:val="center"/>
            <w:hideMark/>
          </w:tcPr>
          <w:p w14:paraId="3D2585CE" w14:textId="77777777" w:rsidR="00C767B2" w:rsidRPr="00646913" w:rsidRDefault="00C767B2" w:rsidP="00EE205C">
            <w:pPr>
              <w:jc w:val="center"/>
              <w:rPr>
                <w:rFonts w:eastAsia="Times New Roman"/>
                <w:lang w:eastAsia="es-MX"/>
              </w:rPr>
            </w:pPr>
          </w:p>
        </w:tc>
        <w:tc>
          <w:tcPr>
            <w:tcW w:w="1900" w:type="dxa"/>
            <w:tcBorders>
              <w:top w:val="nil"/>
              <w:left w:val="nil"/>
              <w:bottom w:val="single" w:sz="4" w:space="0" w:color="152935"/>
              <w:right w:val="nil"/>
            </w:tcBorders>
            <w:shd w:val="clear" w:color="000000" w:fill="E0E0E0"/>
            <w:vAlign w:val="center"/>
            <w:hideMark/>
          </w:tcPr>
          <w:p w14:paraId="638B02DB" w14:textId="77777777" w:rsidR="00C767B2" w:rsidRPr="00646913" w:rsidRDefault="00C767B2" w:rsidP="00EE205C">
            <w:pPr>
              <w:jc w:val="center"/>
              <w:rPr>
                <w:rFonts w:eastAsia="Times New Roman"/>
                <w:lang w:eastAsia="es-MX"/>
              </w:rPr>
            </w:pPr>
            <w:r w:rsidRPr="00646913">
              <w:rPr>
                <w:rFonts w:eastAsia="Times New Roman"/>
                <w:lang w:eastAsia="es-MX"/>
              </w:rPr>
              <w:t>Sig.</w:t>
            </w:r>
          </w:p>
        </w:tc>
        <w:tc>
          <w:tcPr>
            <w:tcW w:w="2040" w:type="dxa"/>
            <w:tcBorders>
              <w:top w:val="nil"/>
              <w:left w:val="nil"/>
              <w:bottom w:val="single" w:sz="4" w:space="0" w:color="152935"/>
              <w:right w:val="nil"/>
            </w:tcBorders>
            <w:shd w:val="clear" w:color="auto" w:fill="auto"/>
            <w:noWrap/>
            <w:vAlign w:val="center"/>
            <w:hideMark/>
          </w:tcPr>
          <w:p w14:paraId="66F96F49" w14:textId="77777777" w:rsidR="00C767B2" w:rsidRPr="00646913" w:rsidRDefault="00C767B2" w:rsidP="00EE205C">
            <w:pPr>
              <w:jc w:val="center"/>
              <w:rPr>
                <w:rFonts w:eastAsia="Times New Roman"/>
                <w:lang w:eastAsia="es-MX"/>
              </w:rPr>
            </w:pPr>
            <w:r w:rsidRPr="00646913">
              <w:rPr>
                <w:rFonts w:eastAsia="Times New Roman"/>
                <w:lang w:eastAsia="es-MX"/>
              </w:rPr>
              <w:t>0.000</w:t>
            </w:r>
          </w:p>
        </w:tc>
      </w:tr>
    </w:tbl>
    <w:p w14:paraId="50EA1187" w14:textId="77777777" w:rsidR="00C767B2" w:rsidRPr="00646913" w:rsidRDefault="00C767B2" w:rsidP="00C767B2">
      <w:pPr>
        <w:spacing w:line="360" w:lineRule="auto"/>
        <w:jc w:val="both"/>
      </w:pPr>
      <w:r w:rsidRPr="00646913">
        <w:t xml:space="preserve"> </w:t>
      </w:r>
    </w:p>
    <w:p w14:paraId="3EAF415C" w14:textId="29C56A01" w:rsidR="00C767B2" w:rsidRPr="00646913" w:rsidRDefault="00C767B2" w:rsidP="00C767B2">
      <w:pPr>
        <w:spacing w:line="360" w:lineRule="auto"/>
        <w:ind w:firstLine="708"/>
        <w:jc w:val="both"/>
      </w:pPr>
      <w:r w:rsidRPr="00646913">
        <w:t>La prueba contrasta la hipótesis nula planteando que la matriz de correlación es una matriz de identidad, en cuyo caso no existirán correlaciones significativas entre las variables y el modelo factorial no sería relevante. En esta materia, el valor de significancia de la prueba es 0.00 lo que representa que las variables están altamente correlacionadas para proporcionar una base para el análisis factorial</w:t>
      </w:r>
      <w:r w:rsidR="006E0B7F">
        <w:t xml:space="preserve"> </w:t>
      </w:r>
      <w:sdt>
        <w:sdtPr>
          <w:id w:val="1810442871"/>
          <w:citation/>
        </w:sdtPr>
        <w:sdtEndPr/>
        <w:sdtContent>
          <w:r w:rsidR="006E0B7F">
            <w:fldChar w:fldCharType="begin"/>
          </w:r>
          <w:r w:rsidR="006E0B7F">
            <w:rPr>
              <w:lang w:val="es-MX"/>
            </w:rPr>
            <w:instrText xml:space="preserve"> CITATION Lee13 \l 2058 </w:instrText>
          </w:r>
          <w:r w:rsidR="006E0B7F">
            <w:fldChar w:fldCharType="separate"/>
          </w:r>
          <w:r w:rsidR="006E0B7F" w:rsidRPr="006E0B7F">
            <w:rPr>
              <w:noProof/>
              <w:lang w:val="es-MX"/>
            </w:rPr>
            <w:t>(Leech, Barret, &amp; Morgan, 2013)</w:t>
          </w:r>
          <w:r w:rsidR="006E0B7F">
            <w:fldChar w:fldCharType="end"/>
          </w:r>
        </w:sdtContent>
      </w:sdt>
      <w:r w:rsidR="009177CD">
        <w:t>.</w:t>
      </w:r>
      <w:r w:rsidRPr="00AC5A77">
        <w:rPr>
          <w:color w:val="FF0000"/>
        </w:rPr>
        <w:t xml:space="preserve"> </w:t>
      </w:r>
      <w:r w:rsidRPr="009177CD">
        <w:t xml:space="preserve">Como </w:t>
      </w:r>
      <w:r w:rsidRPr="00646913">
        <w:t>resultado del análisis factorial exploratorio, se llegó a la conclusión de que los ítems podrían agruparse en dos factores.</w:t>
      </w:r>
    </w:p>
    <w:p w14:paraId="646B2DAD" w14:textId="77777777" w:rsidR="00C767B2" w:rsidRPr="00646913" w:rsidRDefault="00C767B2" w:rsidP="00C767B2">
      <w:pPr>
        <w:spacing w:line="360" w:lineRule="auto"/>
        <w:jc w:val="both"/>
      </w:pPr>
      <w:r w:rsidRPr="00646913">
        <w:tab/>
        <w:t xml:space="preserve">Para completar el análisis factorial exploratorio, se calcularon los </w:t>
      </w:r>
      <w:proofErr w:type="spellStart"/>
      <w:r w:rsidRPr="00646913">
        <w:t>eigenvalores</w:t>
      </w:r>
      <w:proofErr w:type="spellEnd"/>
      <w:r w:rsidRPr="00646913">
        <w:t xml:space="preserve">, la carga de los ítems, el porcentaje de la varianza explicada y la </w:t>
      </w:r>
      <w:proofErr w:type="spellStart"/>
      <w:r w:rsidRPr="00646913">
        <w:t>comunalidad</w:t>
      </w:r>
      <w:proofErr w:type="spellEnd"/>
      <w:r w:rsidRPr="00646913">
        <w:t xml:space="preserve"> de los ítems. Este estudio se basó en el análisis de rotación </w:t>
      </w:r>
      <w:proofErr w:type="spellStart"/>
      <w:r w:rsidRPr="00646913">
        <w:t>varimax</w:t>
      </w:r>
      <w:proofErr w:type="spellEnd"/>
      <w:r w:rsidRPr="00646913">
        <w:t xml:space="preserve"> para calcular la estructura de los 17 ítems del cuestionario. Se observa en la tabla 11 que los valores propios de cada factor deben ser mayores que 1 ya que es un criterio generalmente aceptado. Si el valor propio es menor que 1, implica que el factor no debe considerarse. La varianza explicada por el primer factor es de 50.67% y la del segundo factor es de 32.93% que totaliza 83.61%. En otras palabras, el cuestionario explica el 83.61% de la varianza y el 16.39% restante se explica por otros factores. Las </w:t>
      </w:r>
      <w:proofErr w:type="spellStart"/>
      <w:r w:rsidRPr="00646913">
        <w:t>comunalidades</w:t>
      </w:r>
      <w:proofErr w:type="spellEnd"/>
      <w:r w:rsidRPr="00646913">
        <w:t xml:space="preserve"> representan la relación entre las variables y el resto de ellas antes de la rotación. Si son inferiores a 0.30 no deben aceptarse o deberá analizarse posteriormente con el análisis factorial confirmatorio (</w:t>
      </w:r>
      <w:proofErr w:type="spellStart"/>
      <w:r w:rsidRPr="00646913">
        <w:t>Leech</w:t>
      </w:r>
      <w:proofErr w:type="spellEnd"/>
      <w:r w:rsidRPr="00646913">
        <w:t xml:space="preserve"> et al, 2013). Por último, todas las cargas factoriales son superiores a 0.60, lo que mide cómo contribuyen al grupo o factor del que forman parte. </w:t>
      </w:r>
    </w:p>
    <w:p w14:paraId="7EC43C15" w14:textId="77777777" w:rsidR="00C767B2" w:rsidRPr="00646913" w:rsidRDefault="00C767B2" w:rsidP="00C767B2">
      <w:pPr>
        <w:spacing w:line="360" w:lineRule="auto"/>
        <w:jc w:val="both"/>
        <w:rPr>
          <w:b/>
          <w:bCs/>
        </w:rPr>
      </w:pPr>
      <w:r w:rsidRPr="00646913">
        <w:rPr>
          <w:b/>
          <w:bCs/>
        </w:rPr>
        <w:lastRenderedPageBreak/>
        <w:t xml:space="preserve">Tabla 3. Cargas factoriales, </w:t>
      </w:r>
      <w:proofErr w:type="spellStart"/>
      <w:r w:rsidRPr="00646913">
        <w:rPr>
          <w:b/>
          <w:bCs/>
        </w:rPr>
        <w:t>eigenvalores</w:t>
      </w:r>
      <w:proofErr w:type="spellEnd"/>
      <w:r w:rsidRPr="00646913">
        <w:rPr>
          <w:b/>
          <w:bCs/>
        </w:rPr>
        <w:t xml:space="preserve">, varianza explicada y </w:t>
      </w:r>
      <w:proofErr w:type="spellStart"/>
      <w:r w:rsidRPr="00646913">
        <w:rPr>
          <w:b/>
          <w:bCs/>
        </w:rPr>
        <w:t>comunalidades</w:t>
      </w:r>
      <w:proofErr w:type="spellEnd"/>
      <w:r w:rsidRPr="00646913">
        <w:rPr>
          <w:b/>
          <w:bCs/>
        </w:rPr>
        <w:t xml:space="preserve"> de los ítems.</w:t>
      </w:r>
    </w:p>
    <w:tbl>
      <w:tblPr>
        <w:tblW w:w="5260" w:type="dxa"/>
        <w:jc w:val="center"/>
        <w:tblCellMar>
          <w:left w:w="70" w:type="dxa"/>
          <w:right w:w="70" w:type="dxa"/>
        </w:tblCellMar>
        <w:tblLook w:val="04A0" w:firstRow="1" w:lastRow="0" w:firstColumn="1" w:lastColumn="0" w:noHBand="0" w:noVBand="1"/>
      </w:tblPr>
      <w:tblGrid>
        <w:gridCol w:w="1200"/>
        <w:gridCol w:w="1200"/>
        <w:gridCol w:w="1200"/>
        <w:gridCol w:w="1741"/>
      </w:tblGrid>
      <w:tr w:rsidR="00C767B2" w:rsidRPr="00646913" w14:paraId="2C83E8B0" w14:textId="77777777" w:rsidTr="00EE205C">
        <w:trPr>
          <w:trHeight w:val="300"/>
          <w:jc w:val="center"/>
        </w:trPr>
        <w:tc>
          <w:tcPr>
            <w:tcW w:w="1200" w:type="dxa"/>
            <w:tcBorders>
              <w:top w:val="single" w:sz="4" w:space="0" w:color="auto"/>
              <w:left w:val="nil"/>
              <w:bottom w:val="single" w:sz="4" w:space="0" w:color="auto"/>
              <w:right w:val="nil"/>
            </w:tcBorders>
            <w:shd w:val="clear" w:color="auto" w:fill="auto"/>
            <w:noWrap/>
            <w:vAlign w:val="center"/>
            <w:hideMark/>
          </w:tcPr>
          <w:p w14:paraId="4941E398" w14:textId="77777777" w:rsidR="00C767B2" w:rsidRPr="00646913" w:rsidRDefault="00C767B2" w:rsidP="00EE205C">
            <w:pPr>
              <w:jc w:val="center"/>
              <w:rPr>
                <w:rFonts w:eastAsia="Times New Roman"/>
                <w:b/>
                <w:bCs/>
                <w:color w:val="000000"/>
                <w:lang w:eastAsia="es-MX"/>
              </w:rPr>
            </w:pPr>
            <w:r w:rsidRPr="00646913">
              <w:rPr>
                <w:rFonts w:eastAsia="Times New Roman"/>
                <w:b/>
                <w:bCs/>
                <w:color w:val="000000"/>
                <w:lang w:eastAsia="es-MX"/>
              </w:rPr>
              <w:t>Ítem</w:t>
            </w:r>
          </w:p>
        </w:tc>
        <w:tc>
          <w:tcPr>
            <w:tcW w:w="2400" w:type="dxa"/>
            <w:gridSpan w:val="2"/>
            <w:tcBorders>
              <w:top w:val="single" w:sz="4" w:space="0" w:color="auto"/>
              <w:left w:val="nil"/>
              <w:bottom w:val="single" w:sz="4" w:space="0" w:color="auto"/>
              <w:right w:val="nil"/>
            </w:tcBorders>
            <w:shd w:val="clear" w:color="auto" w:fill="auto"/>
            <w:noWrap/>
            <w:vAlign w:val="center"/>
            <w:hideMark/>
          </w:tcPr>
          <w:p w14:paraId="7FC522B2" w14:textId="77777777" w:rsidR="00C767B2" w:rsidRPr="00646913" w:rsidRDefault="00C767B2" w:rsidP="00EE205C">
            <w:pPr>
              <w:jc w:val="center"/>
              <w:rPr>
                <w:rFonts w:eastAsia="Times New Roman"/>
                <w:b/>
                <w:bCs/>
                <w:color w:val="000000"/>
                <w:lang w:eastAsia="es-MX"/>
              </w:rPr>
            </w:pPr>
            <w:r w:rsidRPr="00646913">
              <w:rPr>
                <w:rFonts w:eastAsia="Times New Roman"/>
                <w:b/>
                <w:bCs/>
                <w:color w:val="000000"/>
                <w:lang w:eastAsia="es-MX"/>
              </w:rPr>
              <w:t>Carga factorial</w:t>
            </w:r>
          </w:p>
          <w:p w14:paraId="48D0F6C2" w14:textId="77777777" w:rsidR="00C767B2" w:rsidRPr="00646913" w:rsidRDefault="00C767B2" w:rsidP="00EE205C">
            <w:pPr>
              <w:jc w:val="center"/>
              <w:rPr>
                <w:rFonts w:eastAsia="Times New Roman"/>
                <w:b/>
                <w:bCs/>
                <w:color w:val="000000"/>
                <w:lang w:eastAsia="es-MX"/>
              </w:rPr>
            </w:pPr>
          </w:p>
        </w:tc>
        <w:tc>
          <w:tcPr>
            <w:tcW w:w="1660" w:type="dxa"/>
            <w:tcBorders>
              <w:top w:val="single" w:sz="4" w:space="0" w:color="auto"/>
              <w:left w:val="nil"/>
              <w:bottom w:val="single" w:sz="4" w:space="0" w:color="auto"/>
              <w:right w:val="nil"/>
            </w:tcBorders>
            <w:shd w:val="clear" w:color="auto" w:fill="auto"/>
            <w:noWrap/>
            <w:vAlign w:val="center"/>
            <w:hideMark/>
          </w:tcPr>
          <w:p w14:paraId="13974021" w14:textId="77777777" w:rsidR="00C767B2" w:rsidRPr="00646913" w:rsidRDefault="00C767B2" w:rsidP="00EE205C">
            <w:pPr>
              <w:jc w:val="center"/>
              <w:rPr>
                <w:rFonts w:eastAsia="Times New Roman"/>
                <w:b/>
                <w:bCs/>
                <w:color w:val="000000"/>
                <w:lang w:eastAsia="es-MX"/>
              </w:rPr>
            </w:pPr>
            <w:proofErr w:type="spellStart"/>
            <w:r w:rsidRPr="00646913">
              <w:rPr>
                <w:rFonts w:eastAsia="Times New Roman"/>
                <w:b/>
                <w:bCs/>
                <w:color w:val="000000"/>
                <w:lang w:eastAsia="es-MX"/>
              </w:rPr>
              <w:t>Comunalidades</w:t>
            </w:r>
            <w:proofErr w:type="spellEnd"/>
          </w:p>
        </w:tc>
      </w:tr>
      <w:tr w:rsidR="00C767B2" w:rsidRPr="00646913" w14:paraId="470A0527"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5B827257" w14:textId="77777777" w:rsidR="00C767B2" w:rsidRPr="00646913" w:rsidRDefault="00C767B2" w:rsidP="00EE205C">
            <w:pPr>
              <w:jc w:val="center"/>
              <w:rPr>
                <w:rFonts w:eastAsia="Times New Roman"/>
                <w:b/>
                <w:bCs/>
                <w:color w:val="000000"/>
                <w:lang w:eastAsia="es-MX"/>
              </w:rPr>
            </w:pPr>
          </w:p>
        </w:tc>
        <w:tc>
          <w:tcPr>
            <w:tcW w:w="1200" w:type="dxa"/>
            <w:tcBorders>
              <w:top w:val="nil"/>
              <w:left w:val="nil"/>
              <w:bottom w:val="nil"/>
              <w:right w:val="nil"/>
            </w:tcBorders>
            <w:shd w:val="clear" w:color="auto" w:fill="auto"/>
            <w:noWrap/>
            <w:vAlign w:val="center"/>
            <w:hideMark/>
          </w:tcPr>
          <w:p w14:paraId="36695B9B" w14:textId="77777777" w:rsidR="00C767B2" w:rsidRPr="00646913" w:rsidRDefault="00C767B2" w:rsidP="00EE205C">
            <w:pPr>
              <w:jc w:val="center"/>
              <w:rPr>
                <w:rFonts w:eastAsia="Times New Roman"/>
                <w:b/>
                <w:bCs/>
                <w:color w:val="000000"/>
                <w:lang w:eastAsia="es-MX"/>
              </w:rPr>
            </w:pPr>
            <w:r w:rsidRPr="00646913">
              <w:rPr>
                <w:rFonts w:eastAsia="Times New Roman"/>
                <w:b/>
                <w:bCs/>
                <w:color w:val="000000"/>
                <w:lang w:eastAsia="es-MX"/>
              </w:rPr>
              <w:t>1°</w:t>
            </w:r>
          </w:p>
        </w:tc>
        <w:tc>
          <w:tcPr>
            <w:tcW w:w="1200" w:type="dxa"/>
            <w:tcBorders>
              <w:top w:val="nil"/>
              <w:left w:val="nil"/>
              <w:bottom w:val="nil"/>
              <w:right w:val="nil"/>
            </w:tcBorders>
            <w:shd w:val="clear" w:color="auto" w:fill="auto"/>
            <w:noWrap/>
            <w:vAlign w:val="center"/>
            <w:hideMark/>
          </w:tcPr>
          <w:p w14:paraId="02EC27A6" w14:textId="77777777" w:rsidR="00C767B2" w:rsidRPr="00646913" w:rsidRDefault="00C767B2" w:rsidP="00EE205C">
            <w:pPr>
              <w:jc w:val="center"/>
              <w:rPr>
                <w:rFonts w:eastAsia="Times New Roman"/>
                <w:b/>
                <w:bCs/>
                <w:color w:val="000000"/>
                <w:lang w:eastAsia="es-MX"/>
              </w:rPr>
            </w:pPr>
            <w:r w:rsidRPr="00646913">
              <w:rPr>
                <w:rFonts w:eastAsia="Times New Roman"/>
                <w:b/>
                <w:bCs/>
                <w:color w:val="000000"/>
                <w:lang w:eastAsia="es-MX"/>
              </w:rPr>
              <w:t>2°</w:t>
            </w:r>
          </w:p>
        </w:tc>
        <w:tc>
          <w:tcPr>
            <w:tcW w:w="1660" w:type="dxa"/>
            <w:tcBorders>
              <w:top w:val="nil"/>
              <w:left w:val="nil"/>
              <w:bottom w:val="nil"/>
              <w:right w:val="nil"/>
            </w:tcBorders>
            <w:shd w:val="clear" w:color="auto" w:fill="auto"/>
            <w:noWrap/>
            <w:vAlign w:val="center"/>
            <w:hideMark/>
          </w:tcPr>
          <w:p w14:paraId="38B9B2B8" w14:textId="77777777" w:rsidR="00C767B2" w:rsidRPr="00646913" w:rsidRDefault="00C767B2" w:rsidP="00EE205C">
            <w:pPr>
              <w:jc w:val="center"/>
              <w:rPr>
                <w:rFonts w:eastAsia="Times New Roman"/>
                <w:b/>
                <w:bCs/>
                <w:color w:val="000000"/>
                <w:lang w:eastAsia="es-MX"/>
              </w:rPr>
            </w:pPr>
          </w:p>
        </w:tc>
      </w:tr>
      <w:tr w:rsidR="00C767B2" w:rsidRPr="00646913" w14:paraId="29B69731"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66747E82"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w:t>
            </w:r>
          </w:p>
        </w:tc>
        <w:tc>
          <w:tcPr>
            <w:tcW w:w="1200" w:type="dxa"/>
            <w:tcBorders>
              <w:top w:val="nil"/>
              <w:left w:val="nil"/>
              <w:bottom w:val="nil"/>
              <w:right w:val="nil"/>
            </w:tcBorders>
            <w:shd w:val="clear" w:color="auto" w:fill="auto"/>
            <w:noWrap/>
            <w:vAlign w:val="center"/>
            <w:hideMark/>
          </w:tcPr>
          <w:p w14:paraId="1E263D29"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3C051201"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0.867</w:t>
            </w:r>
          </w:p>
        </w:tc>
        <w:tc>
          <w:tcPr>
            <w:tcW w:w="1660" w:type="dxa"/>
            <w:tcBorders>
              <w:top w:val="nil"/>
              <w:left w:val="nil"/>
              <w:bottom w:val="nil"/>
              <w:right w:val="nil"/>
            </w:tcBorders>
            <w:shd w:val="clear" w:color="auto" w:fill="auto"/>
            <w:noWrap/>
            <w:vAlign w:val="center"/>
            <w:hideMark/>
          </w:tcPr>
          <w:p w14:paraId="29908E7A"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0.841</w:t>
            </w:r>
          </w:p>
        </w:tc>
      </w:tr>
      <w:tr w:rsidR="00C767B2" w:rsidRPr="00646913" w14:paraId="4FDD9034"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5CD30778"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2</w:t>
            </w:r>
          </w:p>
        </w:tc>
        <w:tc>
          <w:tcPr>
            <w:tcW w:w="1200" w:type="dxa"/>
            <w:tcBorders>
              <w:top w:val="nil"/>
              <w:left w:val="nil"/>
              <w:bottom w:val="nil"/>
              <w:right w:val="nil"/>
            </w:tcBorders>
            <w:shd w:val="clear" w:color="auto" w:fill="auto"/>
            <w:noWrap/>
            <w:vAlign w:val="center"/>
            <w:hideMark/>
          </w:tcPr>
          <w:p w14:paraId="26D26A2D"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7140032E"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0.825</w:t>
            </w:r>
          </w:p>
        </w:tc>
        <w:tc>
          <w:tcPr>
            <w:tcW w:w="1660" w:type="dxa"/>
            <w:tcBorders>
              <w:top w:val="nil"/>
              <w:left w:val="nil"/>
              <w:bottom w:val="nil"/>
              <w:right w:val="nil"/>
            </w:tcBorders>
            <w:shd w:val="clear" w:color="auto" w:fill="auto"/>
            <w:noWrap/>
            <w:vAlign w:val="center"/>
            <w:hideMark/>
          </w:tcPr>
          <w:p w14:paraId="3FC6FCD0"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0.794</w:t>
            </w:r>
          </w:p>
        </w:tc>
      </w:tr>
      <w:tr w:rsidR="00C767B2" w:rsidRPr="00646913" w14:paraId="7C537F4D"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01F1F02A"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3</w:t>
            </w:r>
          </w:p>
        </w:tc>
        <w:tc>
          <w:tcPr>
            <w:tcW w:w="1200" w:type="dxa"/>
            <w:tcBorders>
              <w:top w:val="nil"/>
              <w:left w:val="nil"/>
              <w:bottom w:val="nil"/>
              <w:right w:val="nil"/>
            </w:tcBorders>
            <w:shd w:val="clear" w:color="auto" w:fill="auto"/>
            <w:noWrap/>
            <w:vAlign w:val="center"/>
            <w:hideMark/>
          </w:tcPr>
          <w:p w14:paraId="3997237F"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7639875E"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0.862</w:t>
            </w:r>
          </w:p>
        </w:tc>
        <w:tc>
          <w:tcPr>
            <w:tcW w:w="1660" w:type="dxa"/>
            <w:tcBorders>
              <w:top w:val="nil"/>
              <w:left w:val="nil"/>
              <w:bottom w:val="nil"/>
              <w:right w:val="nil"/>
            </w:tcBorders>
            <w:shd w:val="clear" w:color="auto" w:fill="auto"/>
            <w:noWrap/>
            <w:vAlign w:val="center"/>
            <w:hideMark/>
          </w:tcPr>
          <w:p w14:paraId="180B15E4"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0.87</w:t>
            </w:r>
          </w:p>
        </w:tc>
      </w:tr>
      <w:tr w:rsidR="00C767B2" w:rsidRPr="00646913" w14:paraId="23C2B8A0"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2A47A502"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4</w:t>
            </w:r>
          </w:p>
        </w:tc>
        <w:tc>
          <w:tcPr>
            <w:tcW w:w="1200" w:type="dxa"/>
            <w:tcBorders>
              <w:top w:val="nil"/>
              <w:left w:val="nil"/>
              <w:bottom w:val="nil"/>
              <w:right w:val="nil"/>
            </w:tcBorders>
            <w:shd w:val="clear" w:color="auto" w:fill="auto"/>
            <w:noWrap/>
            <w:vAlign w:val="center"/>
            <w:hideMark/>
          </w:tcPr>
          <w:p w14:paraId="19921745"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149367DE"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0.735</w:t>
            </w:r>
          </w:p>
        </w:tc>
        <w:tc>
          <w:tcPr>
            <w:tcW w:w="1660" w:type="dxa"/>
            <w:tcBorders>
              <w:top w:val="nil"/>
              <w:left w:val="nil"/>
              <w:bottom w:val="nil"/>
              <w:right w:val="nil"/>
            </w:tcBorders>
            <w:shd w:val="clear" w:color="auto" w:fill="auto"/>
            <w:noWrap/>
            <w:vAlign w:val="center"/>
            <w:hideMark/>
          </w:tcPr>
          <w:p w14:paraId="76047328"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0.795</w:t>
            </w:r>
          </w:p>
        </w:tc>
      </w:tr>
      <w:tr w:rsidR="00C767B2" w:rsidRPr="00646913" w14:paraId="27EAE295"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0031859B"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5</w:t>
            </w:r>
          </w:p>
        </w:tc>
        <w:tc>
          <w:tcPr>
            <w:tcW w:w="1200" w:type="dxa"/>
            <w:tcBorders>
              <w:top w:val="nil"/>
              <w:left w:val="nil"/>
              <w:bottom w:val="nil"/>
              <w:right w:val="nil"/>
            </w:tcBorders>
            <w:shd w:val="clear" w:color="auto" w:fill="auto"/>
            <w:noWrap/>
            <w:vAlign w:val="center"/>
            <w:hideMark/>
          </w:tcPr>
          <w:p w14:paraId="06DF369F"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3C3F24CA"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0.659</w:t>
            </w:r>
          </w:p>
        </w:tc>
        <w:tc>
          <w:tcPr>
            <w:tcW w:w="1660" w:type="dxa"/>
            <w:tcBorders>
              <w:top w:val="nil"/>
              <w:left w:val="nil"/>
              <w:bottom w:val="nil"/>
              <w:right w:val="nil"/>
            </w:tcBorders>
            <w:shd w:val="clear" w:color="auto" w:fill="auto"/>
            <w:noWrap/>
            <w:vAlign w:val="center"/>
            <w:hideMark/>
          </w:tcPr>
          <w:p w14:paraId="5D7335FC"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0.802</w:t>
            </w:r>
          </w:p>
        </w:tc>
      </w:tr>
      <w:tr w:rsidR="00C767B2" w:rsidRPr="00646913" w14:paraId="5C0B974F"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79034664"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6</w:t>
            </w:r>
          </w:p>
        </w:tc>
        <w:tc>
          <w:tcPr>
            <w:tcW w:w="1200" w:type="dxa"/>
            <w:tcBorders>
              <w:top w:val="nil"/>
              <w:left w:val="nil"/>
              <w:bottom w:val="nil"/>
              <w:right w:val="nil"/>
            </w:tcBorders>
            <w:shd w:val="clear" w:color="auto" w:fill="auto"/>
            <w:noWrap/>
            <w:vAlign w:val="center"/>
            <w:hideMark/>
          </w:tcPr>
          <w:p w14:paraId="0DB0697C"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43CB76F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0.628</w:t>
            </w:r>
          </w:p>
        </w:tc>
        <w:tc>
          <w:tcPr>
            <w:tcW w:w="1660" w:type="dxa"/>
            <w:tcBorders>
              <w:top w:val="nil"/>
              <w:left w:val="nil"/>
              <w:bottom w:val="nil"/>
              <w:right w:val="nil"/>
            </w:tcBorders>
            <w:shd w:val="clear" w:color="auto" w:fill="auto"/>
            <w:noWrap/>
            <w:vAlign w:val="center"/>
            <w:hideMark/>
          </w:tcPr>
          <w:p w14:paraId="6F9FAF0E"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0.846</w:t>
            </w:r>
          </w:p>
        </w:tc>
      </w:tr>
      <w:tr w:rsidR="00C767B2" w:rsidRPr="00646913" w14:paraId="61C47714"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43B888D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7</w:t>
            </w:r>
          </w:p>
        </w:tc>
        <w:tc>
          <w:tcPr>
            <w:tcW w:w="1200" w:type="dxa"/>
            <w:tcBorders>
              <w:top w:val="nil"/>
              <w:left w:val="nil"/>
              <w:bottom w:val="nil"/>
              <w:right w:val="nil"/>
            </w:tcBorders>
            <w:shd w:val="clear" w:color="auto" w:fill="auto"/>
            <w:noWrap/>
            <w:vAlign w:val="center"/>
            <w:hideMark/>
          </w:tcPr>
          <w:p w14:paraId="1966837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0.748</w:t>
            </w:r>
          </w:p>
        </w:tc>
        <w:tc>
          <w:tcPr>
            <w:tcW w:w="1200" w:type="dxa"/>
            <w:tcBorders>
              <w:top w:val="nil"/>
              <w:left w:val="nil"/>
              <w:bottom w:val="nil"/>
              <w:right w:val="nil"/>
            </w:tcBorders>
            <w:shd w:val="clear" w:color="auto" w:fill="auto"/>
            <w:noWrap/>
            <w:vAlign w:val="center"/>
            <w:hideMark/>
          </w:tcPr>
          <w:p w14:paraId="0CCE1A2A"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59CE7DFF"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0.841</w:t>
            </w:r>
          </w:p>
        </w:tc>
      </w:tr>
      <w:tr w:rsidR="00C767B2" w:rsidRPr="00646913" w14:paraId="2799A5F2"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49191321"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8</w:t>
            </w:r>
          </w:p>
        </w:tc>
        <w:tc>
          <w:tcPr>
            <w:tcW w:w="1200" w:type="dxa"/>
            <w:tcBorders>
              <w:top w:val="nil"/>
              <w:left w:val="nil"/>
              <w:bottom w:val="nil"/>
              <w:right w:val="nil"/>
            </w:tcBorders>
            <w:shd w:val="clear" w:color="auto" w:fill="auto"/>
            <w:noWrap/>
            <w:vAlign w:val="center"/>
            <w:hideMark/>
          </w:tcPr>
          <w:p w14:paraId="61FFC329"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2BEEE47F"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0.657</w:t>
            </w:r>
          </w:p>
        </w:tc>
        <w:tc>
          <w:tcPr>
            <w:tcW w:w="1660" w:type="dxa"/>
            <w:tcBorders>
              <w:top w:val="nil"/>
              <w:left w:val="nil"/>
              <w:bottom w:val="nil"/>
              <w:right w:val="nil"/>
            </w:tcBorders>
            <w:shd w:val="clear" w:color="auto" w:fill="auto"/>
            <w:noWrap/>
            <w:vAlign w:val="center"/>
            <w:hideMark/>
          </w:tcPr>
          <w:p w14:paraId="06C0A57F"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0.833</w:t>
            </w:r>
          </w:p>
        </w:tc>
      </w:tr>
      <w:tr w:rsidR="00C767B2" w:rsidRPr="00646913" w14:paraId="658CCBAD"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4C80003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9</w:t>
            </w:r>
          </w:p>
        </w:tc>
        <w:tc>
          <w:tcPr>
            <w:tcW w:w="1200" w:type="dxa"/>
            <w:tcBorders>
              <w:top w:val="nil"/>
              <w:left w:val="nil"/>
              <w:bottom w:val="nil"/>
              <w:right w:val="nil"/>
            </w:tcBorders>
            <w:shd w:val="clear" w:color="auto" w:fill="auto"/>
            <w:noWrap/>
            <w:vAlign w:val="center"/>
            <w:hideMark/>
          </w:tcPr>
          <w:p w14:paraId="65952CDF"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0.829</w:t>
            </w:r>
          </w:p>
        </w:tc>
        <w:tc>
          <w:tcPr>
            <w:tcW w:w="1200" w:type="dxa"/>
            <w:tcBorders>
              <w:top w:val="nil"/>
              <w:left w:val="nil"/>
              <w:bottom w:val="nil"/>
              <w:right w:val="nil"/>
            </w:tcBorders>
            <w:shd w:val="clear" w:color="auto" w:fill="auto"/>
            <w:noWrap/>
            <w:vAlign w:val="center"/>
            <w:hideMark/>
          </w:tcPr>
          <w:p w14:paraId="26E7609F"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15728609"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0.812</w:t>
            </w:r>
          </w:p>
        </w:tc>
      </w:tr>
      <w:tr w:rsidR="00C767B2" w:rsidRPr="00646913" w14:paraId="10E22CB0"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656EA5D4"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10</w:t>
            </w:r>
          </w:p>
        </w:tc>
        <w:tc>
          <w:tcPr>
            <w:tcW w:w="1200" w:type="dxa"/>
            <w:tcBorders>
              <w:top w:val="nil"/>
              <w:left w:val="nil"/>
              <w:bottom w:val="nil"/>
              <w:right w:val="nil"/>
            </w:tcBorders>
            <w:shd w:val="clear" w:color="auto" w:fill="auto"/>
            <w:noWrap/>
            <w:vAlign w:val="center"/>
            <w:hideMark/>
          </w:tcPr>
          <w:p w14:paraId="60DCAB20"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0.817</w:t>
            </w:r>
          </w:p>
        </w:tc>
        <w:tc>
          <w:tcPr>
            <w:tcW w:w="1200" w:type="dxa"/>
            <w:tcBorders>
              <w:top w:val="nil"/>
              <w:left w:val="nil"/>
              <w:bottom w:val="nil"/>
              <w:right w:val="nil"/>
            </w:tcBorders>
            <w:shd w:val="clear" w:color="auto" w:fill="auto"/>
            <w:noWrap/>
            <w:vAlign w:val="center"/>
            <w:hideMark/>
          </w:tcPr>
          <w:p w14:paraId="0C9DE729"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20B9BF0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0.807</w:t>
            </w:r>
          </w:p>
        </w:tc>
      </w:tr>
      <w:tr w:rsidR="00C767B2" w:rsidRPr="00646913" w14:paraId="1E5BC391"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4FD917CE"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11</w:t>
            </w:r>
          </w:p>
        </w:tc>
        <w:tc>
          <w:tcPr>
            <w:tcW w:w="1200" w:type="dxa"/>
            <w:tcBorders>
              <w:top w:val="nil"/>
              <w:left w:val="nil"/>
              <w:bottom w:val="nil"/>
              <w:right w:val="nil"/>
            </w:tcBorders>
            <w:shd w:val="clear" w:color="auto" w:fill="auto"/>
            <w:noWrap/>
            <w:vAlign w:val="center"/>
            <w:hideMark/>
          </w:tcPr>
          <w:p w14:paraId="567318B2"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0.841</w:t>
            </w:r>
          </w:p>
        </w:tc>
        <w:tc>
          <w:tcPr>
            <w:tcW w:w="1200" w:type="dxa"/>
            <w:tcBorders>
              <w:top w:val="nil"/>
              <w:left w:val="nil"/>
              <w:bottom w:val="nil"/>
              <w:right w:val="nil"/>
            </w:tcBorders>
            <w:shd w:val="clear" w:color="auto" w:fill="auto"/>
            <w:noWrap/>
            <w:vAlign w:val="center"/>
            <w:hideMark/>
          </w:tcPr>
          <w:p w14:paraId="18873CDB"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17366F62"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0.866</w:t>
            </w:r>
          </w:p>
        </w:tc>
      </w:tr>
      <w:tr w:rsidR="00C767B2" w:rsidRPr="00646913" w14:paraId="0F7940AF"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416A57A9"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12</w:t>
            </w:r>
          </w:p>
        </w:tc>
        <w:tc>
          <w:tcPr>
            <w:tcW w:w="1200" w:type="dxa"/>
            <w:tcBorders>
              <w:top w:val="nil"/>
              <w:left w:val="nil"/>
              <w:bottom w:val="nil"/>
              <w:right w:val="nil"/>
            </w:tcBorders>
            <w:shd w:val="clear" w:color="auto" w:fill="auto"/>
            <w:noWrap/>
            <w:vAlign w:val="center"/>
            <w:hideMark/>
          </w:tcPr>
          <w:p w14:paraId="27B1BAE6"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0.817</w:t>
            </w:r>
          </w:p>
        </w:tc>
        <w:tc>
          <w:tcPr>
            <w:tcW w:w="1200" w:type="dxa"/>
            <w:tcBorders>
              <w:top w:val="nil"/>
              <w:left w:val="nil"/>
              <w:bottom w:val="nil"/>
              <w:right w:val="nil"/>
            </w:tcBorders>
            <w:shd w:val="clear" w:color="auto" w:fill="auto"/>
            <w:noWrap/>
            <w:vAlign w:val="center"/>
            <w:hideMark/>
          </w:tcPr>
          <w:p w14:paraId="685BCE7D"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250D6F72"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0.828</w:t>
            </w:r>
          </w:p>
        </w:tc>
      </w:tr>
      <w:tr w:rsidR="00C767B2" w:rsidRPr="00646913" w14:paraId="56108A25"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39B32C00"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13</w:t>
            </w:r>
          </w:p>
        </w:tc>
        <w:tc>
          <w:tcPr>
            <w:tcW w:w="1200" w:type="dxa"/>
            <w:tcBorders>
              <w:top w:val="nil"/>
              <w:left w:val="nil"/>
              <w:bottom w:val="nil"/>
              <w:right w:val="nil"/>
            </w:tcBorders>
            <w:shd w:val="clear" w:color="auto" w:fill="auto"/>
            <w:noWrap/>
            <w:vAlign w:val="center"/>
            <w:hideMark/>
          </w:tcPr>
          <w:p w14:paraId="29ABDF35"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0.848</w:t>
            </w:r>
          </w:p>
        </w:tc>
        <w:tc>
          <w:tcPr>
            <w:tcW w:w="1200" w:type="dxa"/>
            <w:tcBorders>
              <w:top w:val="nil"/>
              <w:left w:val="nil"/>
              <w:bottom w:val="nil"/>
              <w:right w:val="nil"/>
            </w:tcBorders>
            <w:shd w:val="clear" w:color="auto" w:fill="auto"/>
            <w:noWrap/>
            <w:vAlign w:val="center"/>
            <w:hideMark/>
          </w:tcPr>
          <w:p w14:paraId="419EBA9D"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0169E205"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0.835</w:t>
            </w:r>
          </w:p>
        </w:tc>
      </w:tr>
      <w:tr w:rsidR="00C767B2" w:rsidRPr="00646913" w14:paraId="5E43AC43"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53908D5A"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14</w:t>
            </w:r>
          </w:p>
        </w:tc>
        <w:tc>
          <w:tcPr>
            <w:tcW w:w="1200" w:type="dxa"/>
            <w:tcBorders>
              <w:top w:val="nil"/>
              <w:left w:val="nil"/>
              <w:bottom w:val="nil"/>
              <w:right w:val="nil"/>
            </w:tcBorders>
            <w:shd w:val="clear" w:color="auto" w:fill="auto"/>
            <w:noWrap/>
            <w:vAlign w:val="center"/>
            <w:hideMark/>
          </w:tcPr>
          <w:p w14:paraId="6B8B87D0"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0.825</w:t>
            </w:r>
          </w:p>
        </w:tc>
        <w:tc>
          <w:tcPr>
            <w:tcW w:w="1200" w:type="dxa"/>
            <w:tcBorders>
              <w:top w:val="nil"/>
              <w:left w:val="nil"/>
              <w:bottom w:val="nil"/>
              <w:right w:val="nil"/>
            </w:tcBorders>
            <w:shd w:val="clear" w:color="auto" w:fill="auto"/>
            <w:noWrap/>
            <w:vAlign w:val="center"/>
            <w:hideMark/>
          </w:tcPr>
          <w:p w14:paraId="62E639C3"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3542C9C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0.87</w:t>
            </w:r>
          </w:p>
        </w:tc>
      </w:tr>
      <w:tr w:rsidR="00C767B2" w:rsidRPr="00646913" w14:paraId="7D40EC8F"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65345F6D"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15</w:t>
            </w:r>
          </w:p>
        </w:tc>
        <w:tc>
          <w:tcPr>
            <w:tcW w:w="1200" w:type="dxa"/>
            <w:tcBorders>
              <w:top w:val="nil"/>
              <w:left w:val="nil"/>
              <w:bottom w:val="nil"/>
              <w:right w:val="nil"/>
            </w:tcBorders>
            <w:shd w:val="clear" w:color="auto" w:fill="auto"/>
            <w:noWrap/>
            <w:vAlign w:val="center"/>
            <w:hideMark/>
          </w:tcPr>
          <w:p w14:paraId="253DD7AE"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0.848</w:t>
            </w:r>
          </w:p>
        </w:tc>
        <w:tc>
          <w:tcPr>
            <w:tcW w:w="1200" w:type="dxa"/>
            <w:tcBorders>
              <w:top w:val="nil"/>
              <w:left w:val="nil"/>
              <w:bottom w:val="nil"/>
              <w:right w:val="nil"/>
            </w:tcBorders>
            <w:shd w:val="clear" w:color="auto" w:fill="auto"/>
            <w:noWrap/>
            <w:vAlign w:val="center"/>
            <w:hideMark/>
          </w:tcPr>
          <w:p w14:paraId="5087E415"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0845EA7A"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0.859</w:t>
            </w:r>
          </w:p>
        </w:tc>
      </w:tr>
      <w:tr w:rsidR="00C767B2" w:rsidRPr="00646913" w14:paraId="4DB65E20"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3EC02A8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16</w:t>
            </w:r>
          </w:p>
        </w:tc>
        <w:tc>
          <w:tcPr>
            <w:tcW w:w="1200" w:type="dxa"/>
            <w:tcBorders>
              <w:top w:val="nil"/>
              <w:left w:val="nil"/>
              <w:bottom w:val="nil"/>
              <w:right w:val="nil"/>
            </w:tcBorders>
            <w:shd w:val="clear" w:color="auto" w:fill="auto"/>
            <w:noWrap/>
            <w:vAlign w:val="center"/>
            <w:hideMark/>
          </w:tcPr>
          <w:p w14:paraId="6D2C4B31"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0.853</w:t>
            </w:r>
          </w:p>
        </w:tc>
        <w:tc>
          <w:tcPr>
            <w:tcW w:w="1200" w:type="dxa"/>
            <w:tcBorders>
              <w:top w:val="nil"/>
              <w:left w:val="nil"/>
              <w:bottom w:val="nil"/>
              <w:right w:val="nil"/>
            </w:tcBorders>
            <w:shd w:val="clear" w:color="auto" w:fill="auto"/>
            <w:noWrap/>
            <w:vAlign w:val="center"/>
            <w:hideMark/>
          </w:tcPr>
          <w:p w14:paraId="574D81F2"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537F1786"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0.876</w:t>
            </w:r>
          </w:p>
        </w:tc>
      </w:tr>
      <w:tr w:rsidR="00C767B2" w:rsidRPr="00646913" w14:paraId="305B9068"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6845C16C"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17</w:t>
            </w:r>
          </w:p>
        </w:tc>
        <w:tc>
          <w:tcPr>
            <w:tcW w:w="1200" w:type="dxa"/>
            <w:tcBorders>
              <w:top w:val="nil"/>
              <w:left w:val="nil"/>
              <w:bottom w:val="nil"/>
              <w:right w:val="nil"/>
            </w:tcBorders>
            <w:shd w:val="clear" w:color="auto" w:fill="auto"/>
            <w:noWrap/>
            <w:vAlign w:val="center"/>
            <w:hideMark/>
          </w:tcPr>
          <w:p w14:paraId="571A373B"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0.823</w:t>
            </w:r>
          </w:p>
        </w:tc>
        <w:tc>
          <w:tcPr>
            <w:tcW w:w="1200" w:type="dxa"/>
            <w:tcBorders>
              <w:top w:val="nil"/>
              <w:left w:val="nil"/>
              <w:bottom w:val="nil"/>
              <w:right w:val="nil"/>
            </w:tcBorders>
            <w:shd w:val="clear" w:color="auto" w:fill="auto"/>
            <w:noWrap/>
            <w:vAlign w:val="center"/>
            <w:hideMark/>
          </w:tcPr>
          <w:p w14:paraId="23C5BAF6" w14:textId="77777777" w:rsidR="00C767B2" w:rsidRPr="00646913" w:rsidRDefault="00C767B2" w:rsidP="00EE205C">
            <w:pPr>
              <w:jc w:val="center"/>
              <w:rPr>
                <w:rFonts w:eastAsia="Times New Roman"/>
                <w:color w:val="000000"/>
                <w:lang w:eastAsia="es-MX"/>
              </w:rPr>
            </w:pPr>
          </w:p>
        </w:tc>
        <w:tc>
          <w:tcPr>
            <w:tcW w:w="1660" w:type="dxa"/>
            <w:tcBorders>
              <w:top w:val="nil"/>
              <w:left w:val="nil"/>
              <w:bottom w:val="nil"/>
              <w:right w:val="nil"/>
            </w:tcBorders>
            <w:shd w:val="clear" w:color="auto" w:fill="auto"/>
            <w:noWrap/>
            <w:vAlign w:val="center"/>
            <w:hideMark/>
          </w:tcPr>
          <w:p w14:paraId="73A231C0"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0.838</w:t>
            </w:r>
          </w:p>
        </w:tc>
      </w:tr>
      <w:tr w:rsidR="00C767B2" w:rsidRPr="00646913" w14:paraId="20F22573"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43BFB0C9" w14:textId="77777777" w:rsidR="00C767B2" w:rsidRPr="00646913" w:rsidRDefault="00C767B2" w:rsidP="00EE205C">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center"/>
            <w:hideMark/>
          </w:tcPr>
          <w:p w14:paraId="2BEDE20B" w14:textId="77777777" w:rsidR="00C767B2" w:rsidRPr="00646913" w:rsidRDefault="00C767B2" w:rsidP="00EE205C">
            <w:pPr>
              <w:jc w:val="center"/>
              <w:rPr>
                <w:rFonts w:eastAsia="Times New Roman"/>
                <w:lang w:eastAsia="es-MX"/>
              </w:rPr>
            </w:pPr>
          </w:p>
        </w:tc>
        <w:tc>
          <w:tcPr>
            <w:tcW w:w="1200" w:type="dxa"/>
            <w:tcBorders>
              <w:top w:val="nil"/>
              <w:left w:val="nil"/>
              <w:bottom w:val="nil"/>
              <w:right w:val="nil"/>
            </w:tcBorders>
            <w:shd w:val="clear" w:color="auto" w:fill="auto"/>
            <w:noWrap/>
            <w:vAlign w:val="center"/>
            <w:hideMark/>
          </w:tcPr>
          <w:p w14:paraId="60057D5C" w14:textId="77777777" w:rsidR="00C767B2" w:rsidRPr="00646913" w:rsidRDefault="00C767B2" w:rsidP="00EE205C">
            <w:pPr>
              <w:jc w:val="center"/>
              <w:rPr>
                <w:rFonts w:eastAsia="Times New Roman"/>
                <w:lang w:eastAsia="es-MX"/>
              </w:rPr>
            </w:pPr>
          </w:p>
        </w:tc>
        <w:tc>
          <w:tcPr>
            <w:tcW w:w="1660" w:type="dxa"/>
            <w:tcBorders>
              <w:top w:val="nil"/>
              <w:left w:val="nil"/>
              <w:bottom w:val="nil"/>
              <w:right w:val="nil"/>
            </w:tcBorders>
            <w:shd w:val="clear" w:color="auto" w:fill="auto"/>
            <w:noWrap/>
            <w:vAlign w:val="center"/>
            <w:hideMark/>
          </w:tcPr>
          <w:p w14:paraId="4DA7298F" w14:textId="77777777" w:rsidR="00C767B2" w:rsidRPr="00646913" w:rsidRDefault="00C767B2" w:rsidP="00EE205C">
            <w:pPr>
              <w:jc w:val="center"/>
              <w:rPr>
                <w:rFonts w:eastAsia="Times New Roman"/>
                <w:lang w:eastAsia="es-MX"/>
              </w:rPr>
            </w:pPr>
          </w:p>
        </w:tc>
      </w:tr>
      <w:tr w:rsidR="00C767B2" w:rsidRPr="00646913" w14:paraId="3A9A272F" w14:textId="77777777" w:rsidTr="00EE205C">
        <w:trPr>
          <w:trHeight w:val="300"/>
          <w:jc w:val="center"/>
        </w:trPr>
        <w:tc>
          <w:tcPr>
            <w:tcW w:w="1200" w:type="dxa"/>
            <w:tcBorders>
              <w:top w:val="nil"/>
              <w:left w:val="nil"/>
              <w:bottom w:val="nil"/>
              <w:right w:val="nil"/>
            </w:tcBorders>
            <w:shd w:val="clear" w:color="auto" w:fill="auto"/>
            <w:noWrap/>
            <w:vAlign w:val="center"/>
            <w:hideMark/>
          </w:tcPr>
          <w:p w14:paraId="04935FBC" w14:textId="77777777" w:rsidR="00C767B2" w:rsidRPr="00646913" w:rsidRDefault="00C767B2" w:rsidP="00EE205C">
            <w:pPr>
              <w:jc w:val="center"/>
              <w:rPr>
                <w:rFonts w:eastAsia="Times New Roman"/>
                <w:lang w:eastAsia="es-MX"/>
              </w:rPr>
            </w:pPr>
          </w:p>
        </w:tc>
        <w:tc>
          <w:tcPr>
            <w:tcW w:w="1200" w:type="dxa"/>
            <w:tcBorders>
              <w:top w:val="nil"/>
              <w:left w:val="nil"/>
              <w:bottom w:val="nil"/>
              <w:right w:val="nil"/>
            </w:tcBorders>
            <w:shd w:val="clear" w:color="auto" w:fill="auto"/>
            <w:noWrap/>
            <w:vAlign w:val="center"/>
            <w:hideMark/>
          </w:tcPr>
          <w:p w14:paraId="24CC5031" w14:textId="77777777" w:rsidR="00C767B2" w:rsidRPr="00646913" w:rsidRDefault="00C767B2" w:rsidP="00EE205C">
            <w:pPr>
              <w:jc w:val="center"/>
              <w:rPr>
                <w:rFonts w:eastAsia="Times New Roman"/>
                <w:lang w:eastAsia="es-MX"/>
              </w:rPr>
            </w:pPr>
          </w:p>
        </w:tc>
        <w:tc>
          <w:tcPr>
            <w:tcW w:w="1200" w:type="dxa"/>
            <w:tcBorders>
              <w:top w:val="nil"/>
              <w:left w:val="nil"/>
              <w:bottom w:val="nil"/>
              <w:right w:val="nil"/>
            </w:tcBorders>
            <w:shd w:val="clear" w:color="auto" w:fill="auto"/>
            <w:noWrap/>
            <w:vAlign w:val="center"/>
            <w:hideMark/>
          </w:tcPr>
          <w:p w14:paraId="4D2D37AD" w14:textId="77777777" w:rsidR="00C767B2" w:rsidRPr="00646913" w:rsidRDefault="00C767B2" w:rsidP="00EE205C">
            <w:pPr>
              <w:jc w:val="center"/>
              <w:rPr>
                <w:rFonts w:eastAsia="Times New Roman"/>
                <w:lang w:eastAsia="es-MX"/>
              </w:rPr>
            </w:pPr>
          </w:p>
        </w:tc>
        <w:tc>
          <w:tcPr>
            <w:tcW w:w="1660" w:type="dxa"/>
            <w:tcBorders>
              <w:top w:val="nil"/>
              <w:left w:val="nil"/>
              <w:bottom w:val="nil"/>
              <w:right w:val="nil"/>
            </w:tcBorders>
            <w:shd w:val="clear" w:color="auto" w:fill="auto"/>
            <w:noWrap/>
            <w:vAlign w:val="center"/>
            <w:hideMark/>
          </w:tcPr>
          <w:p w14:paraId="5ABDB373" w14:textId="77777777" w:rsidR="00C767B2" w:rsidRPr="00646913" w:rsidRDefault="00C767B2" w:rsidP="00EE205C">
            <w:pPr>
              <w:jc w:val="center"/>
              <w:rPr>
                <w:rFonts w:eastAsia="Times New Roman"/>
                <w:color w:val="000000"/>
                <w:lang w:eastAsia="es-MX"/>
              </w:rPr>
            </w:pPr>
            <w:proofErr w:type="spellStart"/>
            <w:r w:rsidRPr="00646913">
              <w:rPr>
                <w:rFonts w:eastAsia="Times New Roman"/>
                <w:color w:val="000000"/>
                <w:lang w:eastAsia="es-MX"/>
              </w:rPr>
              <w:t>Eigenvalores</w:t>
            </w:r>
            <w:proofErr w:type="spellEnd"/>
          </w:p>
        </w:tc>
      </w:tr>
      <w:tr w:rsidR="00C767B2" w:rsidRPr="00646913" w14:paraId="3CC35516" w14:textId="77777777" w:rsidTr="00EE205C">
        <w:trPr>
          <w:trHeight w:val="510"/>
          <w:jc w:val="center"/>
        </w:trPr>
        <w:tc>
          <w:tcPr>
            <w:tcW w:w="1200" w:type="dxa"/>
            <w:tcBorders>
              <w:top w:val="nil"/>
              <w:left w:val="nil"/>
              <w:bottom w:val="nil"/>
              <w:right w:val="nil"/>
            </w:tcBorders>
            <w:shd w:val="clear" w:color="auto" w:fill="auto"/>
            <w:vAlign w:val="center"/>
            <w:hideMark/>
          </w:tcPr>
          <w:p w14:paraId="46DDF8D6"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Varianza explicada</w:t>
            </w:r>
          </w:p>
        </w:tc>
        <w:tc>
          <w:tcPr>
            <w:tcW w:w="1200" w:type="dxa"/>
            <w:tcBorders>
              <w:top w:val="nil"/>
              <w:left w:val="nil"/>
              <w:bottom w:val="nil"/>
              <w:right w:val="nil"/>
            </w:tcBorders>
            <w:shd w:val="clear" w:color="auto" w:fill="auto"/>
            <w:noWrap/>
            <w:vAlign w:val="center"/>
            <w:hideMark/>
          </w:tcPr>
          <w:p w14:paraId="4C9FFD83"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50.67</w:t>
            </w:r>
          </w:p>
        </w:tc>
        <w:tc>
          <w:tcPr>
            <w:tcW w:w="1200" w:type="dxa"/>
            <w:tcBorders>
              <w:top w:val="nil"/>
              <w:left w:val="nil"/>
              <w:bottom w:val="nil"/>
              <w:right w:val="nil"/>
            </w:tcBorders>
            <w:shd w:val="clear" w:color="auto" w:fill="auto"/>
            <w:noWrap/>
            <w:vAlign w:val="center"/>
            <w:hideMark/>
          </w:tcPr>
          <w:p w14:paraId="30CD6747"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32.93</w:t>
            </w:r>
          </w:p>
        </w:tc>
        <w:tc>
          <w:tcPr>
            <w:tcW w:w="1660" w:type="dxa"/>
            <w:tcBorders>
              <w:top w:val="nil"/>
              <w:left w:val="nil"/>
              <w:bottom w:val="nil"/>
              <w:right w:val="nil"/>
            </w:tcBorders>
            <w:shd w:val="clear" w:color="auto" w:fill="auto"/>
            <w:noWrap/>
            <w:vAlign w:val="center"/>
            <w:hideMark/>
          </w:tcPr>
          <w:p w14:paraId="52FFDCB8" w14:textId="77777777" w:rsidR="00C767B2" w:rsidRPr="00646913" w:rsidRDefault="00C767B2" w:rsidP="00EE205C">
            <w:pPr>
              <w:jc w:val="center"/>
              <w:rPr>
                <w:rFonts w:eastAsia="Times New Roman"/>
                <w:color w:val="000000"/>
                <w:lang w:eastAsia="es-MX"/>
              </w:rPr>
            </w:pPr>
            <w:r w:rsidRPr="00646913">
              <w:rPr>
                <w:rFonts w:eastAsia="Times New Roman"/>
                <w:color w:val="000000"/>
                <w:lang w:eastAsia="es-MX"/>
              </w:rPr>
              <w:t>83.6</w:t>
            </w:r>
          </w:p>
        </w:tc>
      </w:tr>
    </w:tbl>
    <w:p w14:paraId="2CA40975" w14:textId="77777777" w:rsidR="00C767B2" w:rsidRPr="00646913" w:rsidRDefault="00C767B2" w:rsidP="00C767B2">
      <w:pPr>
        <w:spacing w:line="360" w:lineRule="auto"/>
        <w:jc w:val="center"/>
      </w:pPr>
    </w:p>
    <w:p w14:paraId="2C0B8687" w14:textId="77777777" w:rsidR="00C767B2" w:rsidRPr="00646913" w:rsidRDefault="00C767B2" w:rsidP="00C767B2">
      <w:pPr>
        <w:spacing w:line="360" w:lineRule="auto"/>
        <w:jc w:val="both"/>
      </w:pPr>
      <w:r w:rsidRPr="00646913">
        <w:t>El primer factor se refiere a hostilidad sexual (SLH) y segundo factor hostigamiento sexista (STH). Hostilidad sexista (STH, por sus siglas en inglés) es el comportamiento misógino que degrada a la mujer, sin contenido sexual. Hostilidad sexual (SLH, por sus siglas en inglés), incluye bromas, comentarios o gestos de naturaleza sexual explícita. Los ítems comprendidos en el hostigamiento sexual son los ítems 1, 2, 3, 4, 5, 6 y 8 y los ítems comprendidos en la hostilidad sexual son el 7, 8, 9, 10, 11, 12, 13, 1, 15, 16 y 17</w:t>
      </w:r>
    </w:p>
    <w:p w14:paraId="5134A549" w14:textId="77777777" w:rsidR="00C767B2" w:rsidRPr="00646913" w:rsidRDefault="00C767B2" w:rsidP="00C767B2">
      <w:pPr>
        <w:spacing w:line="360" w:lineRule="auto"/>
        <w:jc w:val="both"/>
      </w:pPr>
    </w:p>
    <w:p w14:paraId="6BB5BCDB" w14:textId="77777777" w:rsidR="00C767B2" w:rsidRPr="00B74F85" w:rsidRDefault="00C767B2" w:rsidP="00C767B2">
      <w:pPr>
        <w:spacing w:line="360" w:lineRule="auto"/>
        <w:jc w:val="both"/>
        <w:rPr>
          <w:b/>
          <w:sz w:val="28"/>
          <w:szCs w:val="28"/>
        </w:rPr>
      </w:pPr>
      <w:r w:rsidRPr="00B74F85">
        <w:rPr>
          <w:b/>
          <w:sz w:val="28"/>
          <w:szCs w:val="28"/>
        </w:rPr>
        <w:t xml:space="preserve">Conclusiones </w:t>
      </w:r>
    </w:p>
    <w:p w14:paraId="0A9157EF" w14:textId="20F80BE2" w:rsidR="002A199B" w:rsidRPr="006E27DC" w:rsidRDefault="00C767B2" w:rsidP="006E27DC">
      <w:pPr>
        <w:spacing w:line="360" w:lineRule="auto"/>
        <w:ind w:firstLine="708"/>
        <w:jc w:val="both"/>
        <w:rPr>
          <w:rFonts w:ascii="Arial" w:hAnsi="Arial" w:cs="Arial"/>
        </w:rPr>
      </w:pPr>
      <w:r w:rsidRPr="00646913">
        <w:rPr>
          <w:bCs/>
          <w:lang w:eastAsia="es-ES_tradnl"/>
        </w:rPr>
        <w:t>Los resultados del análisis factorial exploratorio muestran que el</w:t>
      </w:r>
      <w:r w:rsidR="00AC5A77">
        <w:rPr>
          <w:bCs/>
          <w:lang w:eastAsia="es-ES_tradnl"/>
        </w:rPr>
        <w:t xml:space="preserve"> cuestionario de Cortina </w:t>
      </w:r>
      <w:sdt>
        <w:sdtPr>
          <w:rPr>
            <w:bCs/>
            <w:lang w:eastAsia="es-ES_tradnl"/>
          </w:rPr>
          <w:id w:val="2017421916"/>
          <w:citation/>
        </w:sdtPr>
        <w:sdtEndPr/>
        <w:sdtContent>
          <w:r w:rsidR="00FB7965">
            <w:rPr>
              <w:bCs/>
              <w:lang w:eastAsia="es-ES_tradnl"/>
            </w:rPr>
            <w:fldChar w:fldCharType="begin"/>
          </w:r>
          <w:r w:rsidR="00FB7965">
            <w:rPr>
              <w:bCs/>
              <w:lang w:val="es-MX" w:eastAsia="es-ES_tradnl"/>
            </w:rPr>
            <w:instrText xml:space="preserve"> CITATION Cor011 \l 2058 </w:instrText>
          </w:r>
          <w:r w:rsidR="00FB7965">
            <w:rPr>
              <w:bCs/>
              <w:lang w:eastAsia="es-ES_tradnl"/>
            </w:rPr>
            <w:fldChar w:fldCharType="separate"/>
          </w:r>
          <w:r w:rsidR="00FB7965" w:rsidRPr="00FB7965">
            <w:rPr>
              <w:noProof/>
              <w:lang w:val="es-MX" w:eastAsia="es-ES_tradnl"/>
            </w:rPr>
            <w:t>(Cortina, 2001)</w:t>
          </w:r>
          <w:r w:rsidR="00FB7965">
            <w:rPr>
              <w:bCs/>
              <w:lang w:eastAsia="es-ES_tradnl"/>
            </w:rPr>
            <w:fldChar w:fldCharType="end"/>
          </w:r>
        </w:sdtContent>
      </w:sdt>
      <w:r w:rsidR="004C046A">
        <w:rPr>
          <w:bCs/>
          <w:lang w:eastAsia="es-ES_tradnl"/>
        </w:rPr>
        <w:t xml:space="preserve"> </w:t>
      </w:r>
      <w:r w:rsidRPr="00646913">
        <w:rPr>
          <w:bCs/>
          <w:lang w:eastAsia="es-ES_tradnl"/>
        </w:rPr>
        <w:t>es válido para el entorno mexicano ya que se apega a los requerimientos estadísticos</w:t>
      </w:r>
      <w:r w:rsidR="004C046A">
        <w:rPr>
          <w:bCs/>
          <w:lang w:eastAsia="es-ES_tradnl"/>
        </w:rPr>
        <w:t xml:space="preserve">, tales como la </w:t>
      </w:r>
      <w:r w:rsidR="004C046A">
        <w:rPr>
          <w:rFonts w:eastAsia="Times New Roman"/>
          <w:lang w:eastAsia="es-MX"/>
        </w:rPr>
        <w:t>m</w:t>
      </w:r>
      <w:r w:rsidR="004C046A" w:rsidRPr="00646913">
        <w:rPr>
          <w:rFonts w:eastAsia="Times New Roman"/>
          <w:lang w:eastAsia="es-MX"/>
        </w:rPr>
        <w:t xml:space="preserve">edida </w:t>
      </w:r>
      <w:proofErr w:type="spellStart"/>
      <w:r w:rsidR="004C046A" w:rsidRPr="00646913">
        <w:rPr>
          <w:rFonts w:eastAsia="Times New Roman"/>
          <w:lang w:eastAsia="es-MX"/>
        </w:rPr>
        <w:t>Kaiser</w:t>
      </w:r>
      <w:proofErr w:type="spellEnd"/>
      <w:r w:rsidR="004C046A" w:rsidRPr="00646913">
        <w:rPr>
          <w:rFonts w:eastAsia="Times New Roman"/>
          <w:lang w:eastAsia="es-MX"/>
        </w:rPr>
        <w:t>-Meyer-</w:t>
      </w:r>
      <w:proofErr w:type="spellStart"/>
      <w:r w:rsidR="004C046A" w:rsidRPr="00646913">
        <w:rPr>
          <w:rFonts w:eastAsia="Times New Roman"/>
          <w:lang w:eastAsia="es-MX"/>
        </w:rPr>
        <w:t>Olkin</w:t>
      </w:r>
      <w:proofErr w:type="spellEnd"/>
      <w:r w:rsidR="004C046A">
        <w:rPr>
          <w:rFonts w:eastAsia="Times New Roman"/>
          <w:lang w:eastAsia="es-MX"/>
        </w:rPr>
        <w:t xml:space="preserve"> con un valor de 0.959 </w:t>
      </w:r>
      <w:r w:rsidR="00ED1AB1">
        <w:rPr>
          <w:rFonts w:eastAsia="Times New Roman"/>
          <w:lang w:eastAsia="es-MX"/>
        </w:rPr>
        <w:t>y la p</w:t>
      </w:r>
      <w:r w:rsidR="00ED1AB1" w:rsidRPr="00646913">
        <w:rPr>
          <w:rFonts w:eastAsia="Times New Roman"/>
          <w:lang w:eastAsia="es-MX"/>
        </w:rPr>
        <w:t xml:space="preserve">rueba de </w:t>
      </w:r>
      <w:r w:rsidR="00ED1AB1" w:rsidRPr="00646913">
        <w:rPr>
          <w:rFonts w:eastAsia="Times New Roman"/>
          <w:lang w:eastAsia="es-MX"/>
        </w:rPr>
        <w:lastRenderedPageBreak/>
        <w:t>esfericidad de Bartlett</w:t>
      </w:r>
      <w:r w:rsidR="00ED1AB1">
        <w:rPr>
          <w:rFonts w:eastAsia="Times New Roman"/>
          <w:lang w:eastAsia="es-MX"/>
        </w:rPr>
        <w:t xml:space="preserve"> con una significancia de 0</w:t>
      </w:r>
      <w:r w:rsidR="00ED1AB1">
        <w:rPr>
          <w:rFonts w:eastAsia="Times New Roman"/>
          <w:lang w:eastAsia="es-MX"/>
        </w:rPr>
        <w:t xml:space="preserve">.00 </w:t>
      </w:r>
      <w:r w:rsidR="004C046A">
        <w:rPr>
          <w:rFonts w:eastAsia="Times New Roman"/>
          <w:lang w:eastAsia="es-MX"/>
        </w:rPr>
        <w:t>cuyo</w:t>
      </w:r>
      <w:r w:rsidR="00ED1AB1">
        <w:rPr>
          <w:rFonts w:eastAsia="Times New Roman"/>
          <w:lang w:eastAsia="es-MX"/>
        </w:rPr>
        <w:t>s</w:t>
      </w:r>
      <w:r w:rsidR="004C046A">
        <w:rPr>
          <w:rFonts w:eastAsia="Times New Roman"/>
          <w:lang w:eastAsia="es-MX"/>
        </w:rPr>
        <w:t xml:space="preserve"> resultado</w:t>
      </w:r>
      <w:r w:rsidR="00ED1AB1">
        <w:rPr>
          <w:rFonts w:eastAsia="Times New Roman"/>
          <w:lang w:eastAsia="es-MX"/>
        </w:rPr>
        <w:t>s</w:t>
      </w:r>
      <w:r w:rsidR="004C046A">
        <w:rPr>
          <w:rFonts w:eastAsia="Times New Roman"/>
          <w:lang w:eastAsia="es-MX"/>
        </w:rPr>
        <w:t xml:space="preserve"> </w:t>
      </w:r>
      <w:r w:rsidR="00ED1AB1">
        <w:rPr>
          <w:rFonts w:eastAsia="Times New Roman"/>
          <w:lang w:eastAsia="es-MX"/>
        </w:rPr>
        <w:t xml:space="preserve">por ser muy próximo a la unidad y al valor de 0 respectivamente, </w:t>
      </w:r>
      <w:r w:rsidR="004C046A">
        <w:rPr>
          <w:rFonts w:eastAsia="Times New Roman"/>
          <w:lang w:eastAsia="es-MX"/>
        </w:rPr>
        <w:t>indica</w:t>
      </w:r>
      <w:r w:rsidR="00ED1AB1">
        <w:rPr>
          <w:rFonts w:eastAsia="Times New Roman"/>
          <w:lang w:eastAsia="es-MX"/>
        </w:rPr>
        <w:t>n</w:t>
      </w:r>
      <w:r w:rsidR="004C046A">
        <w:rPr>
          <w:rFonts w:eastAsia="Times New Roman"/>
          <w:lang w:eastAsia="es-MX"/>
        </w:rPr>
        <w:t xml:space="preserve"> que es un instrumento que puede ser sometido a un estudio factorial exploratorio</w:t>
      </w:r>
      <w:r w:rsidRPr="00646913">
        <w:rPr>
          <w:bCs/>
          <w:lang w:eastAsia="es-ES_tradnl"/>
        </w:rPr>
        <w:t xml:space="preserve">. </w:t>
      </w:r>
      <w:r w:rsidR="002A199B">
        <w:rPr>
          <w:bCs/>
          <w:lang w:eastAsia="es-ES_tradnl"/>
        </w:rPr>
        <w:t xml:space="preserve">Luego de ser sometido a este estudio, los resultados muestran </w:t>
      </w:r>
      <w:r w:rsidR="002A199B">
        <w:t>que</w:t>
      </w:r>
      <w:r w:rsidR="002A199B" w:rsidRPr="00646913">
        <w:t xml:space="preserve"> el cuestionario explica el 83.61% de la varianza y el 16.39% restante se explica por otros factores</w:t>
      </w:r>
      <w:r w:rsidR="002A199B">
        <w:t xml:space="preserve">, por otro lado, </w:t>
      </w:r>
      <w:r w:rsidR="002A199B" w:rsidRPr="00646913">
        <w:t>todas las cargas factoriales son superiores a 0.60, lo que mide cómo contribuyen al grupo o factor del que forman parte</w:t>
      </w:r>
      <w:r w:rsidR="002A199B">
        <w:t xml:space="preserve">, con ello demostramos que los 17 ítems pueden utilizarse con certeza </w:t>
      </w:r>
      <w:r w:rsidR="00783F05">
        <w:t>estadística, l</w:t>
      </w:r>
      <w:r w:rsidR="00783F05" w:rsidRPr="00646913">
        <w:t>os</w:t>
      </w:r>
      <w:r w:rsidR="002A199B" w:rsidRPr="00646913">
        <w:t xml:space="preserve"> ítems comprendidos en el hostigami</w:t>
      </w:r>
      <w:r w:rsidR="00783F05">
        <w:t xml:space="preserve">ento sexual son </w:t>
      </w:r>
      <w:r w:rsidR="002A199B" w:rsidRPr="00646913">
        <w:t>1, 2, 3, 4, 5, 6 y 8 y los ítems comprendidos en la hostilidad sexual son el 7, 8, 9, 10, 11, 12, 13, 1, 15, 16 y 17</w:t>
      </w:r>
      <w:r w:rsidR="00783F05">
        <w:t xml:space="preserve">, </w:t>
      </w:r>
      <w:r w:rsidR="00A4264E">
        <w:t>teniendo en cuenta que la h</w:t>
      </w:r>
      <w:r w:rsidR="00783F05" w:rsidRPr="00646913">
        <w:t>ostilidad sexista (STH, por sus siglas en inglés) es el comportamiento misógino que degrada a</w:t>
      </w:r>
      <w:r w:rsidR="00A4264E">
        <w:t xml:space="preserve"> la mujer, sin contenido sexual y la h</w:t>
      </w:r>
      <w:r w:rsidR="00783F05" w:rsidRPr="00646913">
        <w:t>ostilidad sexual (SLH, por sus siglas en inglés), incluye bromas, comentarios o gestos de naturaleza sexual explícita</w:t>
      </w:r>
      <w:r w:rsidR="00A4264E">
        <w:t>. En el estudio fueron consideradas de control como la edad, el estado civil, grado escolar, el sector laboral y si cuenta con personal laboral a su cargo, esto con la finalidad de encontrar diferencias significativas entre los diferentes grupos.</w:t>
      </w:r>
      <w:r w:rsidR="00B6328B">
        <w:t xml:space="preserve"> A través de una prueba ANOVA se encontró que no existen diferencias significativas debido a la edad, estado civil, grado escolar y sector </w:t>
      </w:r>
      <w:r w:rsidR="006E27DC">
        <w:t>laboral. Para</w:t>
      </w:r>
      <w:r w:rsidR="00B6328B">
        <w:t xml:space="preserve"> verificar si existe diferencia significativa entre los grupos “tiene o no personal a su cargo”, se aplicó la prueba T </w:t>
      </w:r>
      <w:proofErr w:type="spellStart"/>
      <w:r w:rsidR="00B6328B">
        <w:t>Students</w:t>
      </w:r>
      <w:proofErr w:type="spellEnd"/>
      <w:r w:rsidR="00B6328B">
        <w:t xml:space="preserve"> y los resultados muestran que no existe diferencia</w:t>
      </w:r>
      <w:r w:rsidR="00B6328B" w:rsidRPr="00B6328B">
        <w:t xml:space="preserve"> significativa</w:t>
      </w:r>
      <w:r w:rsidR="00B6328B" w:rsidRPr="00BD2147">
        <w:rPr>
          <w:rFonts w:ascii="Arial" w:hAnsi="Arial" w:cs="Arial"/>
        </w:rPr>
        <w:t>.</w:t>
      </w:r>
      <w:r w:rsidR="00B6328B" w:rsidRPr="00176039">
        <w:rPr>
          <w:rFonts w:ascii="Arial" w:hAnsi="Arial" w:cs="Arial"/>
        </w:rPr>
        <w:t xml:space="preserve"> </w:t>
      </w:r>
    </w:p>
    <w:p w14:paraId="361B0782" w14:textId="6126673E" w:rsidR="00C767B2" w:rsidRPr="00646913" w:rsidRDefault="002A199B" w:rsidP="00C767B2">
      <w:pPr>
        <w:spacing w:before="240" w:after="240" w:line="360" w:lineRule="auto"/>
        <w:jc w:val="both"/>
        <w:rPr>
          <w:bCs/>
          <w:lang w:eastAsia="es-ES_tradnl"/>
        </w:rPr>
      </w:pPr>
      <w:r>
        <w:t xml:space="preserve">  </w:t>
      </w:r>
      <w:r w:rsidRPr="00646913">
        <w:rPr>
          <w:bCs/>
          <w:lang w:eastAsia="es-ES_tradnl"/>
        </w:rPr>
        <w:t xml:space="preserve"> </w:t>
      </w:r>
      <w:r w:rsidR="006E27DC">
        <w:rPr>
          <w:bCs/>
          <w:lang w:eastAsia="es-ES_tradnl"/>
        </w:rPr>
        <w:t>Por otra parte, en</w:t>
      </w:r>
      <w:r w:rsidR="00C767B2" w:rsidRPr="00646913">
        <w:rPr>
          <w:bCs/>
          <w:lang w:eastAsia="es-ES_tradnl"/>
        </w:rPr>
        <w:t xml:space="preserve"> el resultado descriptivo de los dat</w:t>
      </w:r>
      <w:r w:rsidR="006E27DC">
        <w:rPr>
          <w:bCs/>
          <w:lang w:eastAsia="es-ES_tradnl"/>
        </w:rPr>
        <w:t xml:space="preserve">os en relación a los ítems se identifica </w:t>
      </w:r>
      <w:r w:rsidR="006E27DC" w:rsidRPr="00646913">
        <w:rPr>
          <w:bCs/>
          <w:lang w:eastAsia="es-ES_tradnl"/>
        </w:rPr>
        <w:t>que</w:t>
      </w:r>
      <w:r w:rsidR="00C767B2" w:rsidRPr="00646913">
        <w:rPr>
          <w:bCs/>
          <w:lang w:eastAsia="es-ES_tradnl"/>
        </w:rPr>
        <w:t xml:space="preserve"> los niveles de acoso sexual en el trabajo son bajos. Esta es una buena noticia para el entorno laboral ya que se podría entender que se guarda el respeto hacia las mujeres en el trabajo. Sin embargo, quedan factores por explicar para tomar en cuenta en futuras investigaciones. Una vertiente puede ser el clima laboral; es decir, si el clima laboral es favorable esto podría ser un indicador que efectivamente se guarda el respeto hacia la mujer. </w:t>
      </w:r>
    </w:p>
    <w:p w14:paraId="45FBDA12" w14:textId="77777777" w:rsidR="00C767B2" w:rsidRDefault="00C767B2" w:rsidP="00C767B2">
      <w:pPr>
        <w:spacing w:before="240" w:after="240" w:line="360" w:lineRule="auto"/>
        <w:jc w:val="both"/>
        <w:rPr>
          <w:rFonts w:ascii="Arial" w:hAnsi="Arial" w:cs="Arial"/>
          <w:bCs/>
          <w:lang w:eastAsia="es-ES_tradnl"/>
        </w:rPr>
      </w:pPr>
    </w:p>
    <w:p w14:paraId="69E9C831" w14:textId="77777777" w:rsidR="00C767B2" w:rsidRPr="009177CD" w:rsidRDefault="00C767B2" w:rsidP="00C767B2">
      <w:pPr>
        <w:spacing w:before="240" w:after="240" w:line="360" w:lineRule="auto"/>
        <w:jc w:val="both"/>
        <w:rPr>
          <w:rFonts w:ascii="Arial" w:hAnsi="Arial" w:cs="Arial"/>
          <w:b/>
          <w:bCs/>
          <w:sz w:val="28"/>
          <w:szCs w:val="28"/>
          <w:lang w:eastAsia="es-ES_tradnl"/>
        </w:rPr>
      </w:pPr>
      <w:r w:rsidRPr="009177CD">
        <w:rPr>
          <w:rFonts w:ascii="Arial" w:hAnsi="Arial" w:cs="Arial"/>
          <w:b/>
          <w:bCs/>
          <w:sz w:val="28"/>
          <w:szCs w:val="28"/>
          <w:lang w:eastAsia="es-ES_tradnl"/>
        </w:rPr>
        <w:t>Referencias</w:t>
      </w:r>
    </w:p>
    <w:sdt>
      <w:sdtPr>
        <w:rPr>
          <w:rFonts w:ascii="Times New Roman" w:eastAsia="Calibri" w:hAnsi="Times New Roman" w:cs="Times New Roman"/>
          <w:color w:val="auto"/>
          <w:sz w:val="24"/>
          <w:szCs w:val="24"/>
          <w:lang w:val="es-ES" w:eastAsia="es-ES"/>
        </w:rPr>
        <w:id w:val="869181642"/>
        <w:docPartObj>
          <w:docPartGallery w:val="Bibliographies"/>
          <w:docPartUnique/>
        </w:docPartObj>
      </w:sdtPr>
      <w:sdtEndPr/>
      <w:sdtContent>
        <w:p w14:paraId="1D72128A" w14:textId="550E5B4E" w:rsidR="009177CD" w:rsidRDefault="009177CD">
          <w:pPr>
            <w:pStyle w:val="Ttulo1"/>
          </w:pPr>
        </w:p>
        <w:sdt>
          <w:sdtPr>
            <w:id w:val="-573587230"/>
            <w:bibliography/>
          </w:sdtPr>
          <w:sdtEndPr/>
          <w:sdtContent>
            <w:p w14:paraId="3E8A2A5E" w14:textId="77777777" w:rsidR="009177CD" w:rsidRDefault="009177CD" w:rsidP="009177CD">
              <w:pPr>
                <w:pStyle w:val="Bibliografa"/>
                <w:ind w:left="720" w:hanging="720"/>
                <w:rPr>
                  <w:noProof/>
                </w:rPr>
              </w:pPr>
              <w:r>
                <w:fldChar w:fldCharType="begin"/>
              </w:r>
              <w:r>
                <w:instrText>BIBLIOGRAPHY</w:instrText>
              </w:r>
              <w:r>
                <w:fldChar w:fldCharType="separate"/>
              </w:r>
              <w:r>
                <w:rPr>
                  <w:noProof/>
                </w:rPr>
                <w:t xml:space="preserve">Alegría, C. (2011). Aproximación conceptual y jurídica al término acoso laboral. </w:t>
              </w:r>
              <w:r>
                <w:rPr>
                  <w:i/>
                  <w:iCs/>
                  <w:noProof/>
                </w:rPr>
                <w:t>In Anales de derecho</w:t>
              </w:r>
              <w:r>
                <w:rPr>
                  <w:noProof/>
                </w:rPr>
                <w:t>, 224-245.</w:t>
              </w:r>
            </w:p>
            <w:p w14:paraId="558828FF" w14:textId="77777777" w:rsidR="009177CD" w:rsidRDefault="009177CD" w:rsidP="009177CD">
              <w:pPr>
                <w:pStyle w:val="Bibliografa"/>
                <w:ind w:left="720" w:hanging="720"/>
                <w:rPr>
                  <w:noProof/>
                </w:rPr>
              </w:pPr>
              <w:r>
                <w:rPr>
                  <w:noProof/>
                </w:rPr>
                <w:t xml:space="preserve">CEPAL. (2007). </w:t>
              </w:r>
              <w:r>
                <w:rPr>
                  <w:i/>
                  <w:iCs/>
                  <w:noProof/>
                </w:rPr>
                <w:t>Los objetivos de desarrollo del Milenio y los desafíos para América Latina y el Caribe para avanzar en mayor bienestar, mejor capital humano y más igualdad de oportunidades.</w:t>
              </w:r>
              <w:r>
                <w:rPr>
                  <w:noProof/>
                </w:rPr>
                <w:t xml:space="preserve"> Santiago de Chile: CEPAL.</w:t>
              </w:r>
            </w:p>
            <w:p w14:paraId="63999819" w14:textId="77777777" w:rsidR="009177CD" w:rsidRDefault="009177CD" w:rsidP="009177CD">
              <w:pPr>
                <w:pStyle w:val="Bibliografa"/>
                <w:ind w:left="720" w:hanging="720"/>
                <w:rPr>
                  <w:noProof/>
                </w:rPr>
              </w:pPr>
              <w:r>
                <w:rPr>
                  <w:noProof/>
                </w:rPr>
                <w:t xml:space="preserve">Cortina, L. (2001). Assessing sexual harassment among Latinas: Development of an instrument. </w:t>
              </w:r>
              <w:r>
                <w:rPr>
                  <w:i/>
                  <w:iCs/>
                  <w:noProof/>
                </w:rPr>
                <w:t>Cultural Diversity and Ethnic Minority Psichology, 5</w:t>
              </w:r>
              <w:r>
                <w:rPr>
                  <w:noProof/>
                </w:rPr>
                <w:t>(2), 154.</w:t>
              </w:r>
            </w:p>
            <w:p w14:paraId="166CF2A4" w14:textId="77777777" w:rsidR="009177CD" w:rsidRDefault="009177CD" w:rsidP="009177CD">
              <w:pPr>
                <w:pStyle w:val="Bibliografa"/>
                <w:ind w:left="720" w:hanging="720"/>
                <w:rPr>
                  <w:noProof/>
                </w:rPr>
              </w:pPr>
              <w:r>
                <w:rPr>
                  <w:noProof/>
                </w:rPr>
                <w:t xml:space="preserve">Díaz, C., &amp; Luna, W. (2019). El acoso laboral desde una perspectiva doctrinal y juridica. </w:t>
              </w:r>
              <w:r>
                <w:rPr>
                  <w:i/>
                  <w:iCs/>
                  <w:noProof/>
                </w:rPr>
                <w:t>Negotium: revista de ciencias gerenciales, 14</w:t>
              </w:r>
              <w:r>
                <w:rPr>
                  <w:noProof/>
                </w:rPr>
                <w:t>(42), 5-13.</w:t>
              </w:r>
            </w:p>
            <w:p w14:paraId="6CA54535" w14:textId="77777777" w:rsidR="009177CD" w:rsidRDefault="009177CD" w:rsidP="009177CD">
              <w:pPr>
                <w:pStyle w:val="Bibliografa"/>
                <w:ind w:left="720" w:hanging="720"/>
                <w:rPr>
                  <w:noProof/>
                </w:rPr>
              </w:pPr>
              <w:r>
                <w:rPr>
                  <w:noProof/>
                </w:rPr>
                <w:t xml:space="preserve">Espinoza, H., &amp; Carballo, A. (2021). El acoso sexual en el entorno laboral desde una perspectiva jurídica-dogmática. </w:t>
              </w:r>
              <w:r>
                <w:rPr>
                  <w:i/>
                  <w:iCs/>
                  <w:noProof/>
                </w:rPr>
                <w:t>Revista de ciencias jurídicas</w:t>
              </w:r>
              <w:r>
                <w:rPr>
                  <w:noProof/>
                </w:rPr>
                <w:t>, 155.</w:t>
              </w:r>
            </w:p>
            <w:p w14:paraId="1B5CF4F9" w14:textId="77777777" w:rsidR="009177CD" w:rsidRDefault="009177CD" w:rsidP="009177CD">
              <w:pPr>
                <w:pStyle w:val="Bibliografa"/>
                <w:ind w:left="720" w:hanging="720"/>
                <w:rPr>
                  <w:noProof/>
                </w:rPr>
              </w:pPr>
              <w:r>
                <w:rPr>
                  <w:noProof/>
                </w:rPr>
                <w:t xml:space="preserve">Flores, M., &amp; Velasco, J. (2022). El acoso laboral, una visión desde el ámbito probatorio. Polo del Conocimiento. </w:t>
              </w:r>
              <w:r>
                <w:rPr>
                  <w:i/>
                  <w:iCs/>
                  <w:noProof/>
                </w:rPr>
                <w:t>Científico Profesional, 7</w:t>
              </w:r>
              <w:r>
                <w:rPr>
                  <w:noProof/>
                </w:rPr>
                <w:t>(1).</w:t>
              </w:r>
            </w:p>
            <w:p w14:paraId="582EAB87" w14:textId="77777777" w:rsidR="009177CD" w:rsidRDefault="009177CD" w:rsidP="009177CD">
              <w:pPr>
                <w:pStyle w:val="Bibliografa"/>
                <w:ind w:left="720" w:hanging="720"/>
                <w:rPr>
                  <w:noProof/>
                </w:rPr>
              </w:pPr>
              <w:r>
                <w:rPr>
                  <w:noProof/>
                </w:rPr>
                <w:t xml:space="preserve">Jiménez, L., &amp; Praga, J. (2011). Los objetivos de desarrollo del milenio (ODM) de las naciones unidas: ¿en dónde estamos y para dónde vamos? Fuente de inspiración para priorizar las labores desde la academia. </w:t>
              </w:r>
              <w:r>
                <w:rPr>
                  <w:i/>
                  <w:iCs/>
                  <w:noProof/>
                </w:rPr>
                <w:t>LASALLISTA de investigación, 8</w:t>
              </w:r>
              <w:r>
                <w:rPr>
                  <w:noProof/>
                </w:rPr>
                <w:t>(1), 126-135.</w:t>
              </w:r>
            </w:p>
            <w:p w14:paraId="1177474B" w14:textId="77777777" w:rsidR="009177CD" w:rsidRDefault="009177CD" w:rsidP="009177CD">
              <w:pPr>
                <w:pStyle w:val="Bibliografa"/>
                <w:ind w:left="720" w:hanging="720"/>
                <w:rPr>
                  <w:noProof/>
                </w:rPr>
              </w:pPr>
              <w:r>
                <w:rPr>
                  <w:noProof/>
                </w:rPr>
                <w:t xml:space="preserve">Leech, N., Barret, K., &amp; Morgan, G. (2013). </w:t>
              </w:r>
              <w:r>
                <w:rPr>
                  <w:i/>
                  <w:iCs/>
                  <w:noProof/>
                </w:rPr>
                <w:t>SPSS for intermediate statistics: Use and interpretation, V Edition.</w:t>
              </w:r>
              <w:r>
                <w:rPr>
                  <w:noProof/>
                </w:rPr>
                <w:t xml:space="preserve"> New York and London: Routledge.</w:t>
              </w:r>
            </w:p>
            <w:p w14:paraId="27F6B548" w14:textId="77777777" w:rsidR="009177CD" w:rsidRDefault="009177CD" w:rsidP="009177CD">
              <w:pPr>
                <w:pStyle w:val="Bibliografa"/>
                <w:ind w:left="720" w:hanging="720"/>
                <w:rPr>
                  <w:noProof/>
                </w:rPr>
              </w:pPr>
              <w:r>
                <w:rPr>
                  <w:noProof/>
                </w:rPr>
                <w:t xml:space="preserve">Leymann, H. (1996). El contenido y desarrollo del mobbing en el trabajo. </w:t>
              </w:r>
              <w:r>
                <w:rPr>
                  <w:i/>
                  <w:iCs/>
                  <w:noProof/>
                </w:rPr>
                <w:t>European Journal of work and organizational pshychology</w:t>
              </w:r>
              <w:r>
                <w:rPr>
                  <w:noProof/>
                </w:rPr>
                <w:t>, 165-184.</w:t>
              </w:r>
            </w:p>
            <w:p w14:paraId="3E954500" w14:textId="77777777" w:rsidR="009177CD" w:rsidRDefault="009177CD" w:rsidP="009177CD">
              <w:pPr>
                <w:pStyle w:val="Bibliografa"/>
                <w:ind w:left="720" w:hanging="720"/>
                <w:rPr>
                  <w:noProof/>
                </w:rPr>
              </w:pPr>
              <w:r>
                <w:rPr>
                  <w:noProof/>
                </w:rPr>
                <w:t xml:space="preserve">Moreno, B. (2011). Factores y riesgos laborales psicosociales: conceptualización, historia y cambios actuales. </w:t>
              </w:r>
              <w:r>
                <w:rPr>
                  <w:i/>
                  <w:iCs/>
                  <w:noProof/>
                </w:rPr>
                <w:t>Medicina y seguridad del trabajo</w:t>
              </w:r>
              <w:r>
                <w:rPr>
                  <w:noProof/>
                </w:rPr>
                <w:t>, 2-262.</w:t>
              </w:r>
            </w:p>
            <w:p w14:paraId="7F84F387" w14:textId="77777777" w:rsidR="009177CD" w:rsidRDefault="009177CD" w:rsidP="009177CD">
              <w:pPr>
                <w:pStyle w:val="Bibliografa"/>
                <w:ind w:left="720" w:hanging="720"/>
                <w:rPr>
                  <w:noProof/>
                </w:rPr>
              </w:pPr>
              <w:r>
                <w:rPr>
                  <w:noProof/>
                </w:rPr>
                <w:t xml:space="preserve">Naciones Unidas. (2015). </w:t>
              </w:r>
              <w:r>
                <w:rPr>
                  <w:i/>
                  <w:iCs/>
                  <w:noProof/>
                </w:rPr>
                <w:t>Objetivos de Desarrollo del Milenio.</w:t>
              </w:r>
              <w:r>
                <w:rPr>
                  <w:noProof/>
                </w:rPr>
                <w:t xml:space="preserve"> New York: ONU.</w:t>
              </w:r>
            </w:p>
            <w:p w14:paraId="2A7F7CC7" w14:textId="77777777" w:rsidR="009177CD" w:rsidRDefault="009177CD" w:rsidP="009177CD">
              <w:pPr>
                <w:pStyle w:val="Bibliografa"/>
                <w:ind w:left="720" w:hanging="720"/>
                <w:rPr>
                  <w:noProof/>
                </w:rPr>
              </w:pPr>
              <w:r>
                <w:rPr>
                  <w:noProof/>
                </w:rPr>
                <w:t xml:space="preserve">UNIFEM. (2000). </w:t>
              </w:r>
              <w:r>
                <w:rPr>
                  <w:i/>
                  <w:iCs/>
                  <w:noProof/>
                </w:rPr>
                <w:t>). El progreso de las mujeres en el mundo 2000. .</w:t>
              </w:r>
              <w:r>
                <w:rPr>
                  <w:noProof/>
                </w:rPr>
                <w:t xml:space="preserve"> NEW YORK: UNIFEM.</w:t>
              </w:r>
            </w:p>
            <w:p w14:paraId="77E2A625" w14:textId="77777777" w:rsidR="009177CD" w:rsidRDefault="009177CD" w:rsidP="009177CD">
              <w:pPr>
                <w:pStyle w:val="Bibliografa"/>
                <w:ind w:left="720" w:hanging="720"/>
                <w:rPr>
                  <w:noProof/>
                </w:rPr>
              </w:pPr>
              <w:r>
                <w:rPr>
                  <w:noProof/>
                </w:rPr>
                <w:t xml:space="preserve">United Nations. (1976). </w:t>
              </w:r>
              <w:r>
                <w:rPr>
                  <w:i/>
                  <w:iCs/>
                  <w:noProof/>
                </w:rPr>
                <w:t>Report of the World Conference of the International Women´s Year. .</w:t>
              </w:r>
              <w:r>
                <w:rPr>
                  <w:noProof/>
                </w:rPr>
                <w:t xml:space="preserve"> New York: United Nations.</w:t>
              </w:r>
            </w:p>
            <w:p w14:paraId="4D0CE110" w14:textId="77777777" w:rsidR="009177CD" w:rsidRDefault="009177CD" w:rsidP="009177CD">
              <w:pPr>
                <w:pStyle w:val="Bibliografa"/>
                <w:ind w:left="720" w:hanging="720"/>
                <w:rPr>
                  <w:noProof/>
                </w:rPr>
              </w:pPr>
              <w:r>
                <w:rPr>
                  <w:noProof/>
                </w:rPr>
                <w:t xml:space="preserve">United Nations. (1986). </w:t>
              </w:r>
              <w:r>
                <w:rPr>
                  <w:i/>
                  <w:iCs/>
                  <w:noProof/>
                </w:rPr>
                <w:t>Report of the World Conference to review and appraise the achievements of the United Nations Decade for Women: Equality, Development and Peace.</w:t>
              </w:r>
              <w:r>
                <w:rPr>
                  <w:noProof/>
                </w:rPr>
                <w:t xml:space="preserve"> New York: United Nations.</w:t>
              </w:r>
            </w:p>
            <w:p w14:paraId="0222F3F7" w14:textId="77777777" w:rsidR="009177CD" w:rsidRDefault="009177CD" w:rsidP="009177CD">
              <w:pPr>
                <w:pStyle w:val="Bibliografa"/>
                <w:ind w:left="720" w:hanging="720"/>
                <w:rPr>
                  <w:noProof/>
                </w:rPr>
              </w:pPr>
              <w:r>
                <w:rPr>
                  <w:noProof/>
                </w:rPr>
                <w:t xml:space="preserve">United Nations. (2001). </w:t>
              </w:r>
              <w:r>
                <w:rPr>
                  <w:i/>
                  <w:iCs/>
                  <w:noProof/>
                </w:rPr>
                <w:t>Office of the Special Adviser on Gender Issues and Advancement of Women. .</w:t>
              </w:r>
              <w:r>
                <w:rPr>
                  <w:noProof/>
                </w:rPr>
                <w:t xml:space="preserve"> New York: United Nations.</w:t>
              </w:r>
            </w:p>
            <w:p w14:paraId="11F5F358" w14:textId="77777777" w:rsidR="009177CD" w:rsidRDefault="009177CD" w:rsidP="009177CD">
              <w:pPr>
                <w:pStyle w:val="Bibliografa"/>
                <w:ind w:left="720" w:hanging="720"/>
                <w:rPr>
                  <w:noProof/>
                </w:rPr>
              </w:pPr>
              <w:r>
                <w:rPr>
                  <w:noProof/>
                </w:rPr>
                <w:t xml:space="preserve">United Nations. (2002). </w:t>
              </w:r>
              <w:r>
                <w:rPr>
                  <w:i/>
                  <w:iCs/>
                  <w:noProof/>
                </w:rPr>
                <w:t>Office of the Special Adviser on Gender Issues and Advancement of Women. .</w:t>
              </w:r>
              <w:r>
                <w:rPr>
                  <w:noProof/>
                </w:rPr>
                <w:t xml:space="preserve"> New York: United Nations.</w:t>
              </w:r>
            </w:p>
            <w:p w14:paraId="3C3DFF17" w14:textId="494F6258" w:rsidR="009177CD" w:rsidRDefault="009177CD" w:rsidP="009177CD">
              <w:r>
                <w:rPr>
                  <w:b/>
                  <w:bCs/>
                </w:rPr>
                <w:fldChar w:fldCharType="end"/>
              </w:r>
            </w:p>
          </w:sdtContent>
        </w:sdt>
      </w:sdtContent>
    </w:sdt>
    <w:p w14:paraId="48B1EFF8" w14:textId="77777777" w:rsidR="00C767B2" w:rsidRDefault="00C767B2" w:rsidP="00C767B2">
      <w:pPr>
        <w:spacing w:before="240" w:after="240" w:line="360" w:lineRule="auto"/>
        <w:jc w:val="both"/>
        <w:rPr>
          <w:rFonts w:ascii="Arial" w:hAnsi="Arial" w:cs="Arial"/>
          <w:bCs/>
          <w:lang w:eastAsia="es-ES_tradnl"/>
        </w:rPr>
      </w:pPr>
    </w:p>
    <w:p w14:paraId="6D4FD3B5" w14:textId="77777777" w:rsidR="00C767B2" w:rsidRPr="009E7B9C" w:rsidRDefault="00C767B2" w:rsidP="00C767B2">
      <w:pPr>
        <w:spacing w:before="240" w:after="240" w:line="360" w:lineRule="auto"/>
        <w:jc w:val="both"/>
        <w:rPr>
          <w:rFonts w:ascii="Arial" w:hAnsi="Arial" w:cs="Arial"/>
          <w:bCs/>
          <w:lang w:eastAsia="es-ES_tradnl"/>
        </w:rPr>
      </w:pPr>
    </w:p>
    <w:p w14:paraId="2A79C60F" w14:textId="77777777" w:rsidR="00C767B2" w:rsidRDefault="00C767B2" w:rsidP="00C767B2">
      <w:pPr>
        <w:spacing w:before="240" w:after="240" w:line="360" w:lineRule="auto"/>
        <w:jc w:val="both"/>
        <w:rPr>
          <w:rFonts w:ascii="Arial" w:hAnsi="Arial" w:cs="Arial"/>
          <w:b/>
          <w:bCs/>
          <w:lang w:val="es-ES_tradnl" w:eastAsia="es-ES_tradnl"/>
        </w:rPr>
      </w:pPr>
    </w:p>
    <w:p w14:paraId="2E70301A" w14:textId="1953B162" w:rsidR="00C767B2" w:rsidRDefault="00C767B2" w:rsidP="00C767B2">
      <w:pPr>
        <w:spacing w:line="360" w:lineRule="auto"/>
      </w:pPr>
      <w:bookmarkStart w:id="0" w:name="_GoBack"/>
      <w:bookmarkEnd w:id="0"/>
    </w:p>
    <w:sectPr w:rsidR="00C767B2" w:rsidSect="00814785">
      <w:headerReference w:type="default" r:id="rId8"/>
      <w:footerReference w:type="default" r:id="rId9"/>
      <w:pgSz w:w="12240" w:h="15840" w:code="1"/>
      <w:pgMar w:top="1418" w:right="1418" w:bottom="1418" w:left="1701"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5BE4" w14:textId="77777777" w:rsidR="00906797" w:rsidRDefault="00906797" w:rsidP="008364AB">
      <w:r>
        <w:separator/>
      </w:r>
    </w:p>
  </w:endnote>
  <w:endnote w:type="continuationSeparator" w:id="0">
    <w:p w14:paraId="221E338D" w14:textId="77777777" w:rsidR="00906797" w:rsidRDefault="00906797"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ACAC" w14:textId="2831B0C7" w:rsidR="005C1920" w:rsidRPr="00687BEB" w:rsidRDefault="00687BEB" w:rsidP="00687BEB">
    <w:pPr>
      <w:pStyle w:val="Piedepgina"/>
    </w:pPr>
    <w:r>
      <w:rPr>
        <w:rFonts w:ascii="Century Gothic" w:hAnsi="Century Gothic"/>
        <w:noProof/>
        <w:lang w:val="es-MX" w:eastAsia="es-MX"/>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E97E2" w14:textId="77777777" w:rsidR="00906797" w:rsidRDefault="00906797" w:rsidP="008364AB">
      <w:r>
        <w:separator/>
      </w:r>
    </w:p>
  </w:footnote>
  <w:footnote w:type="continuationSeparator" w:id="0">
    <w:p w14:paraId="2E83547F" w14:textId="77777777" w:rsidR="00906797" w:rsidRDefault="00906797" w:rsidP="008364AB">
      <w:r>
        <w:continuationSeparator/>
      </w:r>
    </w:p>
  </w:footnote>
  <w:footnote w:id="1">
    <w:p w14:paraId="507842B3" w14:textId="5010B79A" w:rsidR="00EC3C35" w:rsidRPr="00646913" w:rsidRDefault="00EC3C35" w:rsidP="00646913">
      <w:pPr>
        <w:ind w:firstLine="708"/>
        <w:jc w:val="center"/>
      </w:pPr>
      <w:r>
        <w:rPr>
          <w:rStyle w:val="Refdenotaalpie"/>
        </w:rPr>
        <w:footnoteRef/>
      </w:r>
      <w:r>
        <w:t xml:space="preserve"> </w:t>
      </w:r>
      <w:r w:rsidRPr="00EC3C35">
        <w:t>Tecnológico Nacional de México en Celaya</w:t>
      </w:r>
      <w:r w:rsidR="00646913">
        <w:t xml:space="preserve">, </w:t>
      </w:r>
      <w:hyperlink r:id="rId1" w:history="1">
        <w:r w:rsidRPr="00EC3C35">
          <w:rPr>
            <w:rStyle w:val="Hipervnculo"/>
          </w:rPr>
          <w:t>teresa.garza@itcelaya.edu.mx</w:t>
        </w:r>
      </w:hyperlink>
    </w:p>
  </w:footnote>
  <w:footnote w:id="2">
    <w:p w14:paraId="24BA100E" w14:textId="32EDE3D7" w:rsidR="00646913" w:rsidRPr="00646913" w:rsidRDefault="00646913" w:rsidP="00646913">
      <w:pPr>
        <w:ind w:firstLine="708"/>
        <w:jc w:val="center"/>
      </w:pPr>
      <w:r w:rsidRPr="00646913">
        <w:rPr>
          <w:rStyle w:val="Refdenotaalpie"/>
        </w:rPr>
        <w:footnoteRef/>
      </w:r>
      <w:r w:rsidRPr="00646913">
        <w:t xml:space="preserve"> CAISES Romita, Secretaria de Salud de Guanajuato, </w:t>
      </w:r>
      <w:hyperlink r:id="rId2" w:history="1">
        <w:r w:rsidRPr="00646913">
          <w:rPr>
            <w:rStyle w:val="Hipervnculo"/>
          </w:rPr>
          <w:t>dduenas@guanajuato.gob.mx</w:t>
        </w:r>
      </w:hyperlink>
    </w:p>
  </w:footnote>
  <w:footnote w:id="3">
    <w:p w14:paraId="0D6EA49D" w14:textId="7FC140F1" w:rsidR="00646913" w:rsidRPr="00646913" w:rsidRDefault="00646913" w:rsidP="00646913">
      <w:pPr>
        <w:pStyle w:val="Textonotapie"/>
        <w:jc w:val="center"/>
        <w:rPr>
          <w:sz w:val="24"/>
          <w:szCs w:val="24"/>
          <w:lang w:val="es-MX"/>
        </w:rPr>
      </w:pPr>
      <w:r w:rsidRPr="00646913">
        <w:rPr>
          <w:rStyle w:val="Refdenotaalpie"/>
          <w:sz w:val="24"/>
          <w:szCs w:val="24"/>
        </w:rPr>
        <w:footnoteRef/>
      </w:r>
      <w:r w:rsidRPr="00646913">
        <w:rPr>
          <w:sz w:val="24"/>
          <w:szCs w:val="24"/>
        </w:rPr>
        <w:t xml:space="preserve"> </w:t>
      </w:r>
      <w:r w:rsidRPr="00646913">
        <w:rPr>
          <w:sz w:val="24"/>
          <w:szCs w:val="24"/>
          <w:lang w:val="es-MX"/>
        </w:rPr>
        <w:t xml:space="preserve">Tecnológico Nacional de México en Celaya, </w:t>
      </w:r>
      <w:hyperlink r:id="rId3" w:history="1">
        <w:r w:rsidRPr="00646913">
          <w:rPr>
            <w:rStyle w:val="Hipervnculo"/>
            <w:sz w:val="24"/>
            <w:szCs w:val="24"/>
            <w:lang w:val="es-MX"/>
          </w:rPr>
          <w:t>teresa.cano@itcelaya.edu.mx</w:t>
        </w:r>
      </w:hyperlink>
    </w:p>
    <w:p w14:paraId="61628D46" w14:textId="77777777" w:rsidR="00646913" w:rsidRPr="00646913" w:rsidRDefault="00646913" w:rsidP="00646913">
      <w:pPr>
        <w:pStyle w:val="Textonotapie"/>
        <w:jc w:val="center"/>
        <w:rPr>
          <w:sz w:val="24"/>
          <w:szCs w:val="24"/>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09AA" w14:textId="4EFAB281" w:rsidR="00D35C7F" w:rsidRPr="00687BEB" w:rsidRDefault="00687BEB" w:rsidP="00687BEB">
    <w:pPr>
      <w:pStyle w:val="Encabezado"/>
    </w:pPr>
    <w:r w:rsidRPr="0033768C">
      <w:rPr>
        <w:noProof/>
        <w:lang w:val="es-MX"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val="es-MX"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7DB9"/>
    <w:multiLevelType w:val="hybridMultilevel"/>
    <w:tmpl w:val="EC9A6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5C7049"/>
    <w:multiLevelType w:val="hybridMultilevel"/>
    <w:tmpl w:val="DB7CD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B969A7"/>
    <w:multiLevelType w:val="hybridMultilevel"/>
    <w:tmpl w:val="D270A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AB"/>
    <w:rsid w:val="000003C3"/>
    <w:rsid w:val="000054E9"/>
    <w:rsid w:val="000123CE"/>
    <w:rsid w:val="00012F9A"/>
    <w:rsid w:val="000164F2"/>
    <w:rsid w:val="00017946"/>
    <w:rsid w:val="00017DD7"/>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2CB8"/>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43E"/>
    <w:rsid w:val="001B0580"/>
    <w:rsid w:val="001B2B6F"/>
    <w:rsid w:val="001B37AB"/>
    <w:rsid w:val="001B4000"/>
    <w:rsid w:val="001B5393"/>
    <w:rsid w:val="001B5BC9"/>
    <w:rsid w:val="001C00C5"/>
    <w:rsid w:val="001C0E41"/>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A199B"/>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97B6F"/>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46A"/>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060C"/>
    <w:rsid w:val="006244ED"/>
    <w:rsid w:val="00625163"/>
    <w:rsid w:val="006375D9"/>
    <w:rsid w:val="00641667"/>
    <w:rsid w:val="006419CF"/>
    <w:rsid w:val="00642373"/>
    <w:rsid w:val="00646913"/>
    <w:rsid w:val="00653A27"/>
    <w:rsid w:val="00656956"/>
    <w:rsid w:val="00657AEE"/>
    <w:rsid w:val="00662293"/>
    <w:rsid w:val="00664A95"/>
    <w:rsid w:val="0067345A"/>
    <w:rsid w:val="00675814"/>
    <w:rsid w:val="006818BD"/>
    <w:rsid w:val="00681901"/>
    <w:rsid w:val="00682A07"/>
    <w:rsid w:val="00684516"/>
    <w:rsid w:val="00685A31"/>
    <w:rsid w:val="0068602F"/>
    <w:rsid w:val="00687BEB"/>
    <w:rsid w:val="00687D71"/>
    <w:rsid w:val="006A01B5"/>
    <w:rsid w:val="006A3435"/>
    <w:rsid w:val="006A6E39"/>
    <w:rsid w:val="006A6EF0"/>
    <w:rsid w:val="006B1EE1"/>
    <w:rsid w:val="006B3C9F"/>
    <w:rsid w:val="006C4D6C"/>
    <w:rsid w:val="006D1290"/>
    <w:rsid w:val="006D2662"/>
    <w:rsid w:val="006D5A8B"/>
    <w:rsid w:val="006E0B7F"/>
    <w:rsid w:val="006E27DC"/>
    <w:rsid w:val="006E2CD7"/>
    <w:rsid w:val="006E35F7"/>
    <w:rsid w:val="006E5A9E"/>
    <w:rsid w:val="006E638B"/>
    <w:rsid w:val="006F1947"/>
    <w:rsid w:val="006F31D0"/>
    <w:rsid w:val="00700684"/>
    <w:rsid w:val="0070600D"/>
    <w:rsid w:val="00713F45"/>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3F05"/>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785"/>
    <w:rsid w:val="00814C59"/>
    <w:rsid w:val="00820290"/>
    <w:rsid w:val="00823029"/>
    <w:rsid w:val="0083276B"/>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797"/>
    <w:rsid w:val="00906FD3"/>
    <w:rsid w:val="00915AF6"/>
    <w:rsid w:val="0091625D"/>
    <w:rsid w:val="009177C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658"/>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64E"/>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5A77"/>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09EC"/>
    <w:rsid w:val="00B3174C"/>
    <w:rsid w:val="00B40540"/>
    <w:rsid w:val="00B40A2B"/>
    <w:rsid w:val="00B40E10"/>
    <w:rsid w:val="00B5012A"/>
    <w:rsid w:val="00B567D3"/>
    <w:rsid w:val="00B60952"/>
    <w:rsid w:val="00B6282F"/>
    <w:rsid w:val="00B6328B"/>
    <w:rsid w:val="00B65B9B"/>
    <w:rsid w:val="00B66AA0"/>
    <w:rsid w:val="00B74F85"/>
    <w:rsid w:val="00B8026C"/>
    <w:rsid w:val="00B810EB"/>
    <w:rsid w:val="00B81624"/>
    <w:rsid w:val="00B81BE9"/>
    <w:rsid w:val="00B9431A"/>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767B2"/>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65E"/>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2722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3C35"/>
    <w:rsid w:val="00EC4390"/>
    <w:rsid w:val="00EC5293"/>
    <w:rsid w:val="00EC7947"/>
    <w:rsid w:val="00ED1AB1"/>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B7965"/>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46"/>
    <w:rPr>
      <w:rFonts w:ascii="Times New Roman" w:hAnsi="Times New Roman"/>
      <w:sz w:val="24"/>
      <w:szCs w:val="24"/>
      <w:lang w:val="es-ES" w:eastAsia="es-ES"/>
    </w:rPr>
  </w:style>
  <w:style w:type="paragraph" w:styleId="Ttulo1">
    <w:name w:val="heading 1"/>
    <w:basedOn w:val="Normal"/>
    <w:next w:val="Normal"/>
    <w:link w:val="Ttulo1Car"/>
    <w:uiPriority w:val="9"/>
    <w:qFormat/>
    <w:locked/>
    <w:rsid w:val="009177C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Textonotaalfinal">
    <w:name w:val="endnote text"/>
    <w:basedOn w:val="Normal"/>
    <w:link w:val="TextonotaalfinalCar"/>
    <w:uiPriority w:val="99"/>
    <w:semiHidden/>
    <w:unhideWhenUsed/>
    <w:rsid w:val="00EC3C35"/>
    <w:rPr>
      <w:sz w:val="20"/>
      <w:szCs w:val="20"/>
    </w:rPr>
  </w:style>
  <w:style w:type="character" w:customStyle="1" w:styleId="TextonotaalfinalCar">
    <w:name w:val="Texto nota al final Car"/>
    <w:basedOn w:val="Fuentedeprrafopredeter"/>
    <w:link w:val="Textonotaalfinal"/>
    <w:uiPriority w:val="99"/>
    <w:semiHidden/>
    <w:rsid w:val="00EC3C35"/>
    <w:rPr>
      <w:rFonts w:ascii="Times New Roman" w:hAnsi="Times New Roman"/>
      <w:lang w:val="es-ES" w:eastAsia="es-ES"/>
    </w:rPr>
  </w:style>
  <w:style w:type="character" w:styleId="Refdenotaalfinal">
    <w:name w:val="endnote reference"/>
    <w:basedOn w:val="Fuentedeprrafopredeter"/>
    <w:uiPriority w:val="99"/>
    <w:semiHidden/>
    <w:unhideWhenUsed/>
    <w:rsid w:val="00EC3C35"/>
    <w:rPr>
      <w:vertAlign w:val="superscript"/>
    </w:rPr>
  </w:style>
  <w:style w:type="paragraph" w:styleId="Textonotapie">
    <w:name w:val="footnote text"/>
    <w:basedOn w:val="Normal"/>
    <w:link w:val="TextonotapieCar"/>
    <w:uiPriority w:val="99"/>
    <w:semiHidden/>
    <w:unhideWhenUsed/>
    <w:rsid w:val="00EC3C35"/>
    <w:rPr>
      <w:sz w:val="20"/>
      <w:szCs w:val="20"/>
    </w:rPr>
  </w:style>
  <w:style w:type="character" w:customStyle="1" w:styleId="TextonotapieCar">
    <w:name w:val="Texto nota pie Car"/>
    <w:basedOn w:val="Fuentedeprrafopredeter"/>
    <w:link w:val="Textonotapie"/>
    <w:uiPriority w:val="99"/>
    <w:semiHidden/>
    <w:rsid w:val="00EC3C35"/>
    <w:rPr>
      <w:rFonts w:ascii="Times New Roman" w:hAnsi="Times New Roman"/>
      <w:lang w:val="es-ES" w:eastAsia="es-ES"/>
    </w:rPr>
  </w:style>
  <w:style w:type="character" w:styleId="Refdenotaalpie">
    <w:name w:val="footnote reference"/>
    <w:basedOn w:val="Fuentedeprrafopredeter"/>
    <w:uiPriority w:val="99"/>
    <w:semiHidden/>
    <w:unhideWhenUsed/>
    <w:rsid w:val="00EC3C35"/>
    <w:rPr>
      <w:vertAlign w:val="superscript"/>
    </w:rPr>
  </w:style>
  <w:style w:type="character" w:customStyle="1" w:styleId="Ttulo1Car">
    <w:name w:val="Título 1 Car"/>
    <w:basedOn w:val="Fuentedeprrafopredeter"/>
    <w:link w:val="Ttulo1"/>
    <w:uiPriority w:val="9"/>
    <w:rsid w:val="009177CD"/>
    <w:rPr>
      <w:rFonts w:asciiTheme="majorHAnsi" w:eastAsiaTheme="majorEastAsia" w:hAnsiTheme="majorHAnsi" w:cstheme="majorBidi"/>
      <w:color w:val="365F91" w:themeColor="accent1" w:themeShade="BF"/>
      <w:sz w:val="32"/>
      <w:szCs w:val="32"/>
    </w:rPr>
  </w:style>
  <w:style w:type="paragraph" w:styleId="Bibliografa">
    <w:name w:val="Bibliography"/>
    <w:basedOn w:val="Normal"/>
    <w:next w:val="Normal"/>
    <w:uiPriority w:val="37"/>
    <w:unhideWhenUsed/>
    <w:rsid w:val="0091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4986">
      <w:bodyDiv w:val="1"/>
      <w:marLeft w:val="0"/>
      <w:marRight w:val="0"/>
      <w:marTop w:val="0"/>
      <w:marBottom w:val="0"/>
      <w:divBdr>
        <w:top w:val="none" w:sz="0" w:space="0" w:color="auto"/>
        <w:left w:val="none" w:sz="0" w:space="0" w:color="auto"/>
        <w:bottom w:val="none" w:sz="0" w:space="0" w:color="auto"/>
        <w:right w:val="none" w:sz="0" w:space="0" w:color="auto"/>
      </w:divBdr>
    </w:div>
    <w:div w:id="248004289">
      <w:bodyDiv w:val="1"/>
      <w:marLeft w:val="0"/>
      <w:marRight w:val="0"/>
      <w:marTop w:val="0"/>
      <w:marBottom w:val="0"/>
      <w:divBdr>
        <w:top w:val="none" w:sz="0" w:space="0" w:color="auto"/>
        <w:left w:val="none" w:sz="0" w:space="0" w:color="auto"/>
        <w:bottom w:val="none" w:sz="0" w:space="0" w:color="auto"/>
        <w:right w:val="none" w:sz="0" w:space="0" w:color="auto"/>
      </w:divBdr>
    </w:div>
    <w:div w:id="274749447">
      <w:bodyDiv w:val="1"/>
      <w:marLeft w:val="0"/>
      <w:marRight w:val="0"/>
      <w:marTop w:val="0"/>
      <w:marBottom w:val="0"/>
      <w:divBdr>
        <w:top w:val="none" w:sz="0" w:space="0" w:color="auto"/>
        <w:left w:val="none" w:sz="0" w:space="0" w:color="auto"/>
        <w:bottom w:val="none" w:sz="0" w:space="0" w:color="auto"/>
        <w:right w:val="none" w:sz="0" w:space="0" w:color="auto"/>
      </w:divBdr>
    </w:div>
    <w:div w:id="283536803">
      <w:bodyDiv w:val="1"/>
      <w:marLeft w:val="0"/>
      <w:marRight w:val="0"/>
      <w:marTop w:val="0"/>
      <w:marBottom w:val="0"/>
      <w:divBdr>
        <w:top w:val="none" w:sz="0" w:space="0" w:color="auto"/>
        <w:left w:val="none" w:sz="0" w:space="0" w:color="auto"/>
        <w:bottom w:val="none" w:sz="0" w:space="0" w:color="auto"/>
        <w:right w:val="none" w:sz="0" w:space="0" w:color="auto"/>
      </w:divBdr>
    </w:div>
    <w:div w:id="372971644">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686519806">
      <w:bodyDiv w:val="1"/>
      <w:marLeft w:val="0"/>
      <w:marRight w:val="0"/>
      <w:marTop w:val="0"/>
      <w:marBottom w:val="0"/>
      <w:divBdr>
        <w:top w:val="none" w:sz="0" w:space="0" w:color="auto"/>
        <w:left w:val="none" w:sz="0" w:space="0" w:color="auto"/>
        <w:bottom w:val="none" w:sz="0" w:space="0" w:color="auto"/>
        <w:right w:val="none" w:sz="0" w:space="0" w:color="auto"/>
      </w:divBdr>
    </w:div>
    <w:div w:id="829369932">
      <w:bodyDiv w:val="1"/>
      <w:marLeft w:val="0"/>
      <w:marRight w:val="0"/>
      <w:marTop w:val="0"/>
      <w:marBottom w:val="0"/>
      <w:divBdr>
        <w:top w:val="none" w:sz="0" w:space="0" w:color="auto"/>
        <w:left w:val="none" w:sz="0" w:space="0" w:color="auto"/>
        <w:bottom w:val="none" w:sz="0" w:space="0" w:color="auto"/>
        <w:right w:val="none" w:sz="0" w:space="0" w:color="auto"/>
      </w:divBdr>
    </w:div>
    <w:div w:id="1044212541">
      <w:bodyDiv w:val="1"/>
      <w:marLeft w:val="0"/>
      <w:marRight w:val="0"/>
      <w:marTop w:val="0"/>
      <w:marBottom w:val="0"/>
      <w:divBdr>
        <w:top w:val="none" w:sz="0" w:space="0" w:color="auto"/>
        <w:left w:val="none" w:sz="0" w:space="0" w:color="auto"/>
        <w:bottom w:val="none" w:sz="0" w:space="0" w:color="auto"/>
        <w:right w:val="none" w:sz="0" w:space="0" w:color="auto"/>
      </w:divBdr>
    </w:div>
    <w:div w:id="1086733737">
      <w:bodyDiv w:val="1"/>
      <w:marLeft w:val="0"/>
      <w:marRight w:val="0"/>
      <w:marTop w:val="0"/>
      <w:marBottom w:val="0"/>
      <w:divBdr>
        <w:top w:val="none" w:sz="0" w:space="0" w:color="auto"/>
        <w:left w:val="none" w:sz="0" w:space="0" w:color="auto"/>
        <w:bottom w:val="none" w:sz="0" w:space="0" w:color="auto"/>
        <w:right w:val="none" w:sz="0" w:space="0" w:color="auto"/>
      </w:divBdr>
    </w:div>
    <w:div w:id="1148863720">
      <w:bodyDiv w:val="1"/>
      <w:marLeft w:val="0"/>
      <w:marRight w:val="0"/>
      <w:marTop w:val="0"/>
      <w:marBottom w:val="0"/>
      <w:divBdr>
        <w:top w:val="none" w:sz="0" w:space="0" w:color="auto"/>
        <w:left w:val="none" w:sz="0" w:space="0" w:color="auto"/>
        <w:bottom w:val="none" w:sz="0" w:space="0" w:color="auto"/>
        <w:right w:val="none" w:sz="0" w:space="0" w:color="auto"/>
      </w:divBdr>
    </w:div>
    <w:div w:id="1170369640">
      <w:bodyDiv w:val="1"/>
      <w:marLeft w:val="0"/>
      <w:marRight w:val="0"/>
      <w:marTop w:val="0"/>
      <w:marBottom w:val="0"/>
      <w:divBdr>
        <w:top w:val="none" w:sz="0" w:space="0" w:color="auto"/>
        <w:left w:val="none" w:sz="0" w:space="0" w:color="auto"/>
        <w:bottom w:val="none" w:sz="0" w:space="0" w:color="auto"/>
        <w:right w:val="none" w:sz="0" w:space="0" w:color="auto"/>
      </w:divBdr>
    </w:div>
    <w:div w:id="1240407173">
      <w:bodyDiv w:val="1"/>
      <w:marLeft w:val="0"/>
      <w:marRight w:val="0"/>
      <w:marTop w:val="0"/>
      <w:marBottom w:val="0"/>
      <w:divBdr>
        <w:top w:val="none" w:sz="0" w:space="0" w:color="auto"/>
        <w:left w:val="none" w:sz="0" w:space="0" w:color="auto"/>
        <w:bottom w:val="none" w:sz="0" w:space="0" w:color="auto"/>
        <w:right w:val="none" w:sz="0" w:space="0" w:color="auto"/>
      </w:divBdr>
    </w:div>
    <w:div w:id="1245066886">
      <w:bodyDiv w:val="1"/>
      <w:marLeft w:val="0"/>
      <w:marRight w:val="0"/>
      <w:marTop w:val="0"/>
      <w:marBottom w:val="0"/>
      <w:divBdr>
        <w:top w:val="none" w:sz="0" w:space="0" w:color="auto"/>
        <w:left w:val="none" w:sz="0" w:space="0" w:color="auto"/>
        <w:bottom w:val="none" w:sz="0" w:space="0" w:color="auto"/>
        <w:right w:val="none" w:sz="0" w:space="0" w:color="auto"/>
      </w:divBdr>
    </w:div>
    <w:div w:id="1254630436">
      <w:bodyDiv w:val="1"/>
      <w:marLeft w:val="0"/>
      <w:marRight w:val="0"/>
      <w:marTop w:val="0"/>
      <w:marBottom w:val="0"/>
      <w:divBdr>
        <w:top w:val="none" w:sz="0" w:space="0" w:color="auto"/>
        <w:left w:val="none" w:sz="0" w:space="0" w:color="auto"/>
        <w:bottom w:val="none" w:sz="0" w:space="0" w:color="auto"/>
        <w:right w:val="none" w:sz="0" w:space="0" w:color="auto"/>
      </w:divBdr>
    </w:div>
    <w:div w:id="1260791732">
      <w:bodyDiv w:val="1"/>
      <w:marLeft w:val="0"/>
      <w:marRight w:val="0"/>
      <w:marTop w:val="0"/>
      <w:marBottom w:val="0"/>
      <w:divBdr>
        <w:top w:val="none" w:sz="0" w:space="0" w:color="auto"/>
        <w:left w:val="none" w:sz="0" w:space="0" w:color="auto"/>
        <w:bottom w:val="none" w:sz="0" w:space="0" w:color="auto"/>
        <w:right w:val="none" w:sz="0" w:space="0" w:color="auto"/>
      </w:divBdr>
    </w:div>
    <w:div w:id="1450276959">
      <w:bodyDiv w:val="1"/>
      <w:marLeft w:val="0"/>
      <w:marRight w:val="0"/>
      <w:marTop w:val="0"/>
      <w:marBottom w:val="0"/>
      <w:divBdr>
        <w:top w:val="none" w:sz="0" w:space="0" w:color="auto"/>
        <w:left w:val="none" w:sz="0" w:space="0" w:color="auto"/>
        <w:bottom w:val="none" w:sz="0" w:space="0" w:color="auto"/>
        <w:right w:val="none" w:sz="0" w:space="0" w:color="auto"/>
      </w:divBdr>
    </w:div>
    <w:div w:id="1488786573">
      <w:bodyDiv w:val="1"/>
      <w:marLeft w:val="0"/>
      <w:marRight w:val="0"/>
      <w:marTop w:val="0"/>
      <w:marBottom w:val="0"/>
      <w:divBdr>
        <w:top w:val="none" w:sz="0" w:space="0" w:color="auto"/>
        <w:left w:val="none" w:sz="0" w:space="0" w:color="auto"/>
        <w:bottom w:val="none" w:sz="0" w:space="0" w:color="auto"/>
        <w:right w:val="none" w:sz="0" w:space="0" w:color="auto"/>
      </w:divBdr>
    </w:div>
    <w:div w:id="1523862765">
      <w:bodyDiv w:val="1"/>
      <w:marLeft w:val="0"/>
      <w:marRight w:val="0"/>
      <w:marTop w:val="0"/>
      <w:marBottom w:val="0"/>
      <w:divBdr>
        <w:top w:val="none" w:sz="0" w:space="0" w:color="auto"/>
        <w:left w:val="none" w:sz="0" w:space="0" w:color="auto"/>
        <w:bottom w:val="none" w:sz="0" w:space="0" w:color="auto"/>
        <w:right w:val="none" w:sz="0" w:space="0" w:color="auto"/>
      </w:divBdr>
    </w:div>
    <w:div w:id="1548688644">
      <w:bodyDiv w:val="1"/>
      <w:marLeft w:val="0"/>
      <w:marRight w:val="0"/>
      <w:marTop w:val="0"/>
      <w:marBottom w:val="0"/>
      <w:divBdr>
        <w:top w:val="none" w:sz="0" w:space="0" w:color="auto"/>
        <w:left w:val="none" w:sz="0" w:space="0" w:color="auto"/>
        <w:bottom w:val="none" w:sz="0" w:space="0" w:color="auto"/>
        <w:right w:val="none" w:sz="0" w:space="0" w:color="auto"/>
      </w:divBdr>
    </w:div>
    <w:div w:id="1679505988">
      <w:bodyDiv w:val="1"/>
      <w:marLeft w:val="0"/>
      <w:marRight w:val="0"/>
      <w:marTop w:val="0"/>
      <w:marBottom w:val="0"/>
      <w:divBdr>
        <w:top w:val="none" w:sz="0" w:space="0" w:color="auto"/>
        <w:left w:val="none" w:sz="0" w:space="0" w:color="auto"/>
        <w:bottom w:val="none" w:sz="0" w:space="0" w:color="auto"/>
        <w:right w:val="none" w:sz="0" w:space="0" w:color="auto"/>
      </w:divBdr>
    </w:div>
    <w:div w:id="1730155575">
      <w:bodyDiv w:val="1"/>
      <w:marLeft w:val="0"/>
      <w:marRight w:val="0"/>
      <w:marTop w:val="0"/>
      <w:marBottom w:val="0"/>
      <w:divBdr>
        <w:top w:val="none" w:sz="0" w:space="0" w:color="auto"/>
        <w:left w:val="none" w:sz="0" w:space="0" w:color="auto"/>
        <w:bottom w:val="none" w:sz="0" w:space="0" w:color="auto"/>
        <w:right w:val="none" w:sz="0" w:space="0" w:color="auto"/>
      </w:divBdr>
    </w:div>
    <w:div w:id="1753237865">
      <w:bodyDiv w:val="1"/>
      <w:marLeft w:val="0"/>
      <w:marRight w:val="0"/>
      <w:marTop w:val="0"/>
      <w:marBottom w:val="0"/>
      <w:divBdr>
        <w:top w:val="none" w:sz="0" w:space="0" w:color="auto"/>
        <w:left w:val="none" w:sz="0" w:space="0" w:color="auto"/>
        <w:bottom w:val="none" w:sz="0" w:space="0" w:color="auto"/>
        <w:right w:val="none" w:sz="0" w:space="0" w:color="auto"/>
      </w:divBdr>
    </w:div>
    <w:div w:id="1861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teresa.cano@itcelaya.edu.mx" TargetMode="External"/><Relationship Id="rId2" Type="http://schemas.openxmlformats.org/officeDocument/2006/relationships/hyperlink" Target="mailto:dduenas@guanajuato.gob.mx" TargetMode="External"/><Relationship Id="rId1" Type="http://schemas.openxmlformats.org/officeDocument/2006/relationships/hyperlink" Target="mailto:teresa.garza@itcelaya.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Uni76</b:Tag>
    <b:SourceType>Report</b:SourceType>
    <b:Guid>{687D3821-538A-442D-A86C-633D0840D840}</b:Guid>
    <b:Author>
      <b:Author>
        <b:Corporate>United Nations</b:Corporate>
      </b:Author>
    </b:Author>
    <b:Title>Report of the World Conference of the International Women´s Year. </b:Title>
    <b:Year>1976</b:Year>
    <b:Publisher>United Nations</b:Publisher>
    <b:City>New York</b:City>
    <b:RefOrder>1</b:RefOrder>
  </b:Source>
  <b:Source>
    <b:Tag>Uni86</b:Tag>
    <b:SourceType>Report</b:SourceType>
    <b:Guid>{9DC0B0B5-B37E-43BA-BF95-9FEA97207DAC}</b:Guid>
    <b:Author>
      <b:Author>
        <b:Corporate>United Nations</b:Corporate>
      </b:Author>
    </b:Author>
    <b:Title>Report of the World Conference to review and appraise the achievements of the United Nations Decade for Women: Equality, Development and Peace</b:Title>
    <b:Year>1986</b:Year>
    <b:Publisher>United Nations</b:Publisher>
    <b:City>New York</b:City>
    <b:RefOrder>2</b:RefOrder>
  </b:Source>
  <b:Source>
    <b:Tag>Uni01</b:Tag>
    <b:SourceType>Report</b:SourceType>
    <b:Guid>{F016912E-4645-4633-990C-813902D23668}</b:Guid>
    <b:Author>
      <b:Author>
        <b:Corporate>United Nations</b:Corporate>
      </b:Author>
    </b:Author>
    <b:Title>Office of the Special Adviser on Gender Issues and Advancement of Women. </b:Title>
    <b:Year>2001</b:Year>
    <b:Publisher>United Nations</b:Publisher>
    <b:City>New York</b:City>
    <b:RefOrder>3</b:RefOrder>
  </b:Source>
  <b:Source>
    <b:Tag>UNI00</b:Tag>
    <b:SourceType>Report</b:SourceType>
    <b:Guid>{6B936704-7AA7-436C-B859-AEA6965FB8DE}</b:Guid>
    <b:Author>
      <b:Author>
        <b:Corporate>UNIFEM</b:Corporate>
      </b:Author>
    </b:Author>
    <b:Title>). El progreso de las mujeres en el mundo 2000. </b:Title>
    <b:Year>2000</b:Year>
    <b:Publisher>UNIFEM</b:Publisher>
    <b:City>NEW YORK</b:City>
    <b:RefOrder>4</b:RefOrder>
  </b:Source>
  <b:Source>
    <b:Tag>CEP07</b:Tag>
    <b:SourceType>Report</b:SourceType>
    <b:Guid>{1188884C-3332-41CF-A9B3-BF722E2A473E}</b:Guid>
    <b:Author>
      <b:Author>
        <b:Corporate>CEPAL</b:Corporate>
      </b:Author>
    </b:Author>
    <b:Title>Los objetivos de desarrollo del Milenio y los desafíos para América Latina y el Caribe para avanzar en mayor bienestar, mejor capital humano y más igualdad de oportunidades.</b:Title>
    <b:Year>2007</b:Year>
    <b:Publisher>CEPAL</b:Publisher>
    <b:City>Santiago de Chile</b:City>
    <b:RefOrder>5</b:RefOrder>
  </b:Source>
  <b:Source>
    <b:Tag>Uni02</b:Tag>
    <b:SourceType>Report</b:SourceType>
    <b:Guid>{861CE42B-C099-4374-BF7E-66F87E0A3502}</b:Guid>
    <b:Author>
      <b:Author>
        <b:Corporate>United Nations</b:Corporate>
      </b:Author>
    </b:Author>
    <b:Title>Office of the Special Adviser on Gender Issues and Advancement of Women. </b:Title>
    <b:Year>2002</b:Year>
    <b:Publisher>United Nations</b:Publisher>
    <b:City>New York</b:City>
    <b:RefOrder>7</b:RefOrder>
  </b:Source>
  <b:Source>
    <b:Tag>Jim11</b:Tag>
    <b:SourceType>JournalArticle</b:SourceType>
    <b:Guid>{DC512BA1-9AAF-49AB-93D0-9874B7BA332C}</b:Guid>
    <b:Title>Los objetivos de desarrollo del milenio (ODM) de las naciones unidas: ¿en dónde estamos y para dónde vamos? Fuente de inspiración para priorizar las labores desde la academia</b:Title>
    <b:Year>2011</b:Year>
    <b:JournalName>LASALLISTA de investigación</b:JournalName>
    <b:Pages>126-135</b:Pages>
    <b:Author>
      <b:Author>
        <b:NameList>
          <b:Person>
            <b:Last>Jiménez</b:Last>
            <b:First>L.</b:First>
          </b:Person>
          <b:Person>
            <b:Last>Praga</b:Last>
            <b:First>J.</b:First>
          </b:Person>
        </b:NameList>
      </b:Author>
    </b:Author>
    <b:Volume>8</b:Volume>
    <b:Issue>1</b:Issue>
    <b:RefOrder>8</b:RefOrder>
  </b:Source>
  <b:Source>
    <b:Tag>Mor11</b:Tag>
    <b:SourceType>JournalArticle</b:SourceType>
    <b:Guid>{3A6B5BD6-D272-44AD-9FEA-99C73FFD0668}</b:Guid>
    <b:Title>Factores y riesgos laborales psicosociales: conceptualización, historia y cambios actuales.</b:Title>
    <b:JournalName>Medicina y seguridad del trabajo</b:JournalName>
    <b:Year>2011</b:Year>
    <b:Pages>2-262</b:Pages>
    <b:Author>
      <b:Author>
        <b:NameList>
          <b:Person>
            <b:Last>Moreno</b:Last>
            <b:First>B.</b:First>
          </b:Person>
        </b:NameList>
      </b:Author>
    </b:Author>
    <b:RefOrder>9</b:RefOrder>
  </b:Source>
  <b:Source>
    <b:Tag>Flo22</b:Tag>
    <b:SourceType>JournalArticle</b:SourceType>
    <b:Guid>{CDC17134-CCC6-4AE4-9E25-60FE6EDF766D}</b:Guid>
    <b:Title>El acoso laboral, una visión desde el ámbito probatorio. Polo del Conocimiento</b:Title>
    <b:JournalName>Científico Profesional</b:JournalName>
    <b:Year>2022</b:Year>
    <b:Author>
      <b:Author>
        <b:NameList>
          <b:Person>
            <b:Last>Flores</b:Last>
            <b:First>M.</b:First>
          </b:Person>
          <b:Person>
            <b:Last>Velasco</b:Last>
            <b:First>J.</b:First>
          </b:Person>
        </b:NameList>
      </b:Author>
    </b:Author>
    <b:Volume>7</b:Volume>
    <b:Issue>1</b:Issue>
    <b:RefOrder>10</b:RefOrder>
  </b:Source>
  <b:Source>
    <b:Tag>Ale11</b:Tag>
    <b:SourceType>JournalArticle</b:SourceType>
    <b:Guid>{E53968F5-13E5-4CFA-A603-A0283BF01A50}</b:Guid>
    <b:Title>Aproximación conceptual y jurídica al término acoso laboral</b:Title>
    <b:JournalName>In Anales de derecho</b:JournalName>
    <b:Year>2011</b:Year>
    <b:Pages>224-245</b:Pages>
    <b:Author>
      <b:Author>
        <b:NameList>
          <b:Person>
            <b:Last>Alegría</b:Last>
            <b:First>C.</b:First>
          </b:Person>
        </b:NameList>
      </b:Author>
    </b:Author>
    <b:RefOrder>11</b:RefOrder>
  </b:Source>
  <b:Source>
    <b:Tag>Día19</b:Tag>
    <b:SourceType>JournalArticle</b:SourceType>
    <b:Guid>{20392902-A8D6-4285-A093-BD4FFAEA146E}</b:Guid>
    <b:Title>El acoso laboral desde una perspectiva doctrinal y juridica.</b:Title>
    <b:JournalName>Negotium: revista de ciencias gerenciales</b:JournalName>
    <b:Year>2019</b:Year>
    <b:Pages>5-13</b:Pages>
    <b:Author>
      <b:Author>
        <b:NameList>
          <b:Person>
            <b:Last>Díaz</b:Last>
            <b:First>C.</b:First>
          </b:Person>
          <b:Person>
            <b:Last>Luna</b:Last>
            <b:First>W.</b:First>
          </b:Person>
        </b:NameList>
      </b:Author>
    </b:Author>
    <b:Volume>14</b:Volume>
    <b:Issue>42</b:Issue>
    <b:RefOrder>12</b:RefOrder>
  </b:Source>
  <b:Source>
    <b:Tag>Ley96</b:Tag>
    <b:SourceType>JournalArticle</b:SourceType>
    <b:Guid>{6E7470DC-4247-4256-9882-3E5481DCE77B}</b:Guid>
    <b:Title>El contenido y desarrollo del mobbing en el trabajo.</b:Title>
    <b:JournalName>European Journal of work and organizational pshychology</b:JournalName>
    <b:Year>1996</b:Year>
    <b:Pages>165-184</b:Pages>
    <b:Author>
      <b:Author>
        <b:NameList>
          <b:Person>
            <b:Last>Leymann</b:Last>
            <b:First>H.</b:First>
          </b:Person>
        </b:NameList>
      </b:Author>
    </b:Author>
    <b:RefOrder>13</b:RefOrder>
  </b:Source>
  <b:Source>
    <b:Tag>Esp21</b:Tag>
    <b:SourceType>JournalArticle</b:SourceType>
    <b:Guid>{8A3208A2-31E5-4E86-9CAB-64B95899F238}</b:Guid>
    <b:Title>El acoso sexual en el entorno laboral desde una perspectiva jurídica-dogmática</b:Title>
    <b:JournalName>Revista de ciencias jurídicas</b:JournalName>
    <b:Year>2021</b:Year>
    <b:Pages>155</b:Pages>
    <b:Author>
      <b:Author>
        <b:NameList>
          <b:Person>
            <b:Last>Espinoza</b:Last>
            <b:First>H.</b:First>
          </b:Person>
          <b:Person>
            <b:Last>Carballo</b:Last>
            <b:First>A.</b:First>
          </b:Person>
        </b:NameList>
      </b:Author>
    </b:Author>
    <b:RefOrder>14</b:RefOrder>
  </b:Source>
  <b:Source>
    <b:Tag>Cor011</b:Tag>
    <b:SourceType>JournalArticle</b:SourceType>
    <b:Guid>{BA619F5A-4761-4627-A86B-828BD4203F8F}</b:Guid>
    <b:Title>Assessing sexual harassment among Latinas: Development of an instrument</b:Title>
    <b:JournalName>Cultural Diversity and Ethnic Minority Psichology</b:JournalName>
    <b:Year>2001</b:Year>
    <b:Pages>154</b:Pages>
    <b:Author>
      <b:Author>
        <b:NameList>
          <b:Person>
            <b:Last>Cortina</b:Last>
            <b:First>L.</b:First>
          </b:Person>
        </b:NameList>
      </b:Author>
    </b:Author>
    <b:Volume>5</b:Volume>
    <b:Issue>2</b:Issue>
    <b:RefOrder>15</b:RefOrder>
  </b:Source>
  <b:Source>
    <b:Tag>Lee13</b:Tag>
    <b:SourceType>Book</b:SourceType>
    <b:Guid>{7E307FBE-A3A6-4A11-AFFD-7581C6618CE6}</b:Guid>
    <b:Title>SPSS for intermediate statistics: Use and interpretation, V Edition</b:Title>
    <b:Year>2013</b:Year>
    <b:City>New York and London</b:City>
    <b:Publisher>Routledge</b:Publisher>
    <b:Author>
      <b:Author>
        <b:NameList>
          <b:Person>
            <b:Last>Leech</b:Last>
            <b:First>N.</b:First>
          </b:Person>
          <b:Person>
            <b:Last>Barret</b:Last>
            <b:First>K.</b:First>
          </b:Person>
          <b:Person>
            <b:Last>Morgan</b:Last>
            <b:First>G.</b:First>
          </b:Person>
        </b:NameList>
      </b:Author>
    </b:Author>
    <b:RefOrder>16</b:RefOrder>
  </b:Source>
  <b:Source>
    <b:Tag>Nac15</b:Tag>
    <b:SourceType>Report</b:SourceType>
    <b:Guid>{5B939796-2129-4C23-AEC4-4C69FABCCEAC}</b:Guid>
    <b:Author>
      <b:Author>
        <b:Corporate>Naciones Unidas</b:Corporate>
      </b:Author>
    </b:Author>
    <b:Title>Objetivos de Desarrollo del Milenio</b:Title>
    <b:Year>2015</b:Year>
    <b:Publisher>ONU</b:Publisher>
    <b:City>New York</b:City>
    <b:RefOrder>6</b:RefOrder>
  </b:Source>
</b:Sources>
</file>

<file path=customXml/itemProps1.xml><?xml version="1.0" encoding="utf-8"?>
<ds:datastoreItem xmlns:ds="http://schemas.openxmlformats.org/officeDocument/2006/customXml" ds:itemID="{14EBF474-4AA2-4F52-BC1F-E4FB2E69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13</Pages>
  <Words>4399</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Tere_Cano</cp:lastModifiedBy>
  <cp:revision>9</cp:revision>
  <cp:lastPrinted>2020-09-15T15:30:00Z</cp:lastPrinted>
  <dcterms:created xsi:type="dcterms:W3CDTF">2023-05-17T21:56:00Z</dcterms:created>
  <dcterms:modified xsi:type="dcterms:W3CDTF">2023-05-24T19:27:00Z</dcterms:modified>
</cp:coreProperties>
</file>