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6" w:type="dxa"/>
        <w:tblLook w:val="00A0" w:firstRow="1" w:lastRow="0" w:firstColumn="1" w:lastColumn="0" w:noHBand="0" w:noVBand="0"/>
      </w:tblPr>
      <w:tblGrid>
        <w:gridCol w:w="392"/>
        <w:gridCol w:w="7968"/>
      </w:tblGrid>
      <w:tr w:rsidR="00D35C7F" w:rsidRPr="004D4FC6" w14:paraId="3B5F20CD" w14:textId="77777777">
        <w:tc>
          <w:tcPr>
            <w:tcW w:w="392" w:type="dxa"/>
            <w:shd w:val="clear" w:color="auto" w:fill="0F243E"/>
          </w:tcPr>
          <w:p w14:paraId="3DD39B85" w14:textId="66CDC108" w:rsidR="00D35C7F" w:rsidRPr="00E92483" w:rsidRDefault="00D35C7F" w:rsidP="004D4FC6">
            <w:pPr>
              <w:spacing w:line="360" w:lineRule="auto"/>
              <w:jc w:val="center"/>
              <w:rPr>
                <w:rFonts w:ascii="Arial" w:hAnsi="Arial" w:cs="Arial"/>
                <w:b/>
                <w:bCs/>
                <w:color w:val="FFFFFF"/>
                <w:sz w:val="28"/>
                <w:szCs w:val="28"/>
              </w:rPr>
            </w:pPr>
          </w:p>
        </w:tc>
        <w:tc>
          <w:tcPr>
            <w:tcW w:w="7968" w:type="dxa"/>
            <w:shd w:val="clear" w:color="auto" w:fill="DBE5F1"/>
          </w:tcPr>
          <w:p w14:paraId="7A020AA4" w14:textId="6AD37F45" w:rsidR="00D35C7F" w:rsidRPr="00F23FA3" w:rsidRDefault="00F23FA3" w:rsidP="00F23FA3">
            <w:pPr>
              <w:spacing w:line="360" w:lineRule="auto"/>
              <w:jc w:val="center"/>
              <w:rPr>
                <w:b/>
                <w:bCs/>
                <w:sz w:val="32"/>
                <w:szCs w:val="28"/>
                <w:lang w:val="es-MX"/>
              </w:rPr>
            </w:pPr>
            <w:r w:rsidRPr="00F23FA3">
              <w:rPr>
                <w:b/>
                <w:bCs/>
                <w:sz w:val="32"/>
                <w:szCs w:val="28"/>
                <w:lang w:val="es-MX"/>
              </w:rPr>
              <w:t>Análisis de la cultura de innovación en las pequeñas y medianas empresas (</w:t>
            </w:r>
            <w:r>
              <w:rPr>
                <w:b/>
                <w:bCs/>
                <w:sz w:val="32"/>
                <w:szCs w:val="28"/>
                <w:lang w:val="es-MX"/>
              </w:rPr>
              <w:t>PYMES</w:t>
            </w:r>
            <w:r w:rsidRPr="00F23FA3">
              <w:rPr>
                <w:b/>
                <w:bCs/>
                <w:sz w:val="32"/>
                <w:szCs w:val="28"/>
                <w:lang w:val="es-MX"/>
              </w:rPr>
              <w:t xml:space="preserve">) del estado de </w:t>
            </w:r>
            <w:r>
              <w:rPr>
                <w:b/>
                <w:bCs/>
                <w:sz w:val="32"/>
                <w:szCs w:val="28"/>
                <w:lang w:val="es-MX"/>
              </w:rPr>
              <w:t>G</w:t>
            </w:r>
            <w:r w:rsidRPr="00F23FA3">
              <w:rPr>
                <w:b/>
                <w:bCs/>
                <w:sz w:val="32"/>
                <w:szCs w:val="28"/>
                <w:lang w:val="es-MX"/>
              </w:rPr>
              <w:t>uanajuato</w:t>
            </w:r>
          </w:p>
        </w:tc>
      </w:tr>
    </w:tbl>
    <w:p w14:paraId="4B7A2F9D" w14:textId="3A95F2E5" w:rsidR="00D35C7F" w:rsidRDefault="00D35C7F" w:rsidP="00264F2B">
      <w:pPr>
        <w:spacing w:line="360" w:lineRule="auto"/>
      </w:pPr>
    </w:p>
    <w:p w14:paraId="2E508632" w14:textId="0EB30924" w:rsidR="00F23FA3" w:rsidRDefault="00F23FA3" w:rsidP="00E92483">
      <w:pPr>
        <w:spacing w:line="360" w:lineRule="auto"/>
        <w:jc w:val="center"/>
      </w:pPr>
      <w:r>
        <w:t>Álvarez-Torres, Francisco Javier (1)</w:t>
      </w:r>
    </w:p>
    <w:p w14:paraId="02F0C904" w14:textId="13B6F74E" w:rsidR="00F23FA3" w:rsidRDefault="00F23FA3" w:rsidP="00E92483">
      <w:pPr>
        <w:spacing w:line="360" w:lineRule="auto"/>
        <w:jc w:val="center"/>
      </w:pPr>
      <w:r>
        <w:t>López-Torres, Gabriela Citlalli (2)</w:t>
      </w:r>
    </w:p>
    <w:p w14:paraId="67B4399F" w14:textId="77777777" w:rsidR="00E92483" w:rsidRPr="00E92483" w:rsidRDefault="00E92483" w:rsidP="00E92483">
      <w:pPr>
        <w:spacing w:line="360" w:lineRule="auto"/>
        <w:jc w:val="center"/>
        <w:rPr>
          <w:rFonts w:ascii="Arial" w:hAnsi="Arial" w:cs="Arial"/>
        </w:rPr>
      </w:pPr>
    </w:p>
    <w:p w14:paraId="08136FDE" w14:textId="4B70A597" w:rsidR="00E92483" w:rsidRDefault="00F23FA3" w:rsidP="00E92483">
      <w:pPr>
        <w:spacing w:line="360" w:lineRule="auto"/>
        <w:jc w:val="center"/>
        <w:rPr>
          <w:color w:val="244061"/>
          <w:szCs w:val="20"/>
        </w:rPr>
      </w:pPr>
      <w:r>
        <w:rPr>
          <w:color w:val="244061"/>
          <w:szCs w:val="20"/>
        </w:rPr>
        <w:t>Universidad de Guanajuato (1)</w:t>
      </w:r>
    </w:p>
    <w:p w14:paraId="3B8D5FA2" w14:textId="12306B36" w:rsidR="00F23FA3" w:rsidRPr="00F21071" w:rsidRDefault="00F23FA3" w:rsidP="00E92483">
      <w:pPr>
        <w:spacing w:line="360" w:lineRule="auto"/>
        <w:jc w:val="center"/>
        <w:rPr>
          <w:color w:val="244061"/>
          <w:szCs w:val="20"/>
        </w:rPr>
      </w:pPr>
      <w:r>
        <w:rPr>
          <w:color w:val="244061"/>
          <w:szCs w:val="20"/>
        </w:rPr>
        <w:t>Universidad Autónoma de Aguascalientes (2)</w:t>
      </w:r>
    </w:p>
    <w:p w14:paraId="070CC14E" w14:textId="77777777" w:rsidR="006D2662" w:rsidRDefault="006D2662" w:rsidP="006D2662">
      <w:pPr>
        <w:spacing w:line="360" w:lineRule="auto"/>
        <w:jc w:val="both"/>
        <w:rPr>
          <w:rFonts w:ascii="Arial" w:hAnsi="Arial" w:cs="Arial"/>
          <w:i/>
          <w:sz w:val="20"/>
          <w:szCs w:val="20"/>
        </w:rPr>
      </w:pPr>
    </w:p>
    <w:p w14:paraId="6847ECA5" w14:textId="28D2311D" w:rsidR="00D35C7F" w:rsidRPr="00F21071" w:rsidRDefault="00D35C7F" w:rsidP="00264F2B">
      <w:pPr>
        <w:spacing w:line="360" w:lineRule="auto"/>
        <w:rPr>
          <w:color w:val="244061"/>
          <w:sz w:val="28"/>
        </w:rPr>
      </w:pPr>
      <w:r w:rsidRPr="00F21071">
        <w:rPr>
          <w:b/>
          <w:color w:val="244061"/>
          <w:sz w:val="28"/>
        </w:rPr>
        <w:t>Resumen</w:t>
      </w:r>
    </w:p>
    <w:p w14:paraId="3D5BE1C6" w14:textId="7AC83C24" w:rsidR="00F23FA3" w:rsidRPr="00F23FA3" w:rsidRDefault="00F23FA3" w:rsidP="00F23FA3">
      <w:pPr>
        <w:jc w:val="both"/>
        <w:rPr>
          <w:i/>
          <w:szCs w:val="20"/>
          <w:lang w:val="es-MX"/>
        </w:rPr>
      </w:pPr>
      <w:r w:rsidRPr="00F23FA3">
        <w:rPr>
          <w:i/>
          <w:szCs w:val="20"/>
          <w:lang w:val="es-MX"/>
        </w:rPr>
        <w:t>La innovación es un proceso fundamental para el desarrollo de una economía dinamizadora en esta época posCovid. El uso del Modelo de Rao y Weintraub (2013) permite contar con una radiografía de la cultura de innovación a través de la visión de los gerentes generales y/o fundadores</w:t>
      </w:r>
      <w:r w:rsidR="0073023B">
        <w:rPr>
          <w:i/>
          <w:szCs w:val="20"/>
          <w:lang w:val="es-MX"/>
        </w:rPr>
        <w:t>. Esta herramienta</w:t>
      </w:r>
      <w:r w:rsidRPr="00F23FA3">
        <w:rPr>
          <w:i/>
          <w:szCs w:val="20"/>
          <w:lang w:val="es-MX"/>
        </w:rPr>
        <w:t xml:space="preserve"> </w:t>
      </w:r>
      <w:r w:rsidR="0073023B">
        <w:rPr>
          <w:i/>
          <w:szCs w:val="20"/>
          <w:lang w:val="es-MX"/>
        </w:rPr>
        <w:t xml:space="preserve">permite </w:t>
      </w:r>
      <w:r w:rsidRPr="00F23FA3">
        <w:rPr>
          <w:i/>
          <w:szCs w:val="20"/>
          <w:lang w:val="es-MX"/>
        </w:rPr>
        <w:t>dotar de activos invaluables a los tomadores de decisiones para la promoción de elementos hacia una sólida cultura de innovación en una región</w:t>
      </w:r>
      <w:r w:rsidR="0073023B">
        <w:rPr>
          <w:i/>
          <w:szCs w:val="20"/>
          <w:lang w:val="es-MX"/>
        </w:rPr>
        <w:t>.</w:t>
      </w:r>
    </w:p>
    <w:p w14:paraId="1B3A5285" w14:textId="77777777" w:rsidR="00F23FA3" w:rsidRDefault="00F23FA3" w:rsidP="00F23FA3">
      <w:pPr>
        <w:jc w:val="both"/>
        <w:rPr>
          <w:i/>
          <w:szCs w:val="20"/>
          <w:lang w:val="es-MX"/>
        </w:rPr>
      </w:pPr>
    </w:p>
    <w:p w14:paraId="08F13D74" w14:textId="224BB9B5" w:rsidR="00F23FA3" w:rsidRDefault="00F23FA3" w:rsidP="00F23FA3">
      <w:pPr>
        <w:jc w:val="both"/>
        <w:rPr>
          <w:i/>
          <w:szCs w:val="20"/>
          <w:lang w:val="es-MX"/>
        </w:rPr>
      </w:pPr>
      <w:r w:rsidRPr="00F23FA3">
        <w:rPr>
          <w:i/>
          <w:szCs w:val="20"/>
          <w:lang w:val="es-MX"/>
        </w:rPr>
        <w:t>En el caso del estudio, se llevó a cabo la aplicación del instrumento entre los meses de julio a septiembre 2021 a 177 a gerentes y/o fundadores de empresas pequeñas y medianas del estado de Guanajuato</w:t>
      </w:r>
      <w:r w:rsidR="0073023B">
        <w:rPr>
          <w:i/>
          <w:szCs w:val="20"/>
          <w:lang w:val="es-MX"/>
        </w:rPr>
        <w:t xml:space="preserve"> para medir el Coeficiente de Innovación (CI) y se validó un modelo estadístico usando la técnica de mínimo cuadrados parciales (PLS-SEM) destacando un modelo racional (recursos, procesos y éxitos) en la cultura de innovación de las PYMES de Guanajuato</w:t>
      </w:r>
      <w:r w:rsidRPr="00F23FA3">
        <w:rPr>
          <w:i/>
          <w:szCs w:val="20"/>
          <w:lang w:val="es-MX"/>
        </w:rPr>
        <w:t>.</w:t>
      </w:r>
    </w:p>
    <w:p w14:paraId="47AB5B2B" w14:textId="77777777" w:rsidR="00F23FA3" w:rsidRPr="00F23FA3" w:rsidRDefault="00F23FA3" w:rsidP="00F23FA3">
      <w:pPr>
        <w:jc w:val="both"/>
        <w:rPr>
          <w:i/>
          <w:szCs w:val="20"/>
          <w:lang w:val="es-MX"/>
        </w:rPr>
      </w:pPr>
    </w:p>
    <w:p w14:paraId="30D67236" w14:textId="77777777" w:rsidR="00F23FA3" w:rsidRPr="00F23FA3" w:rsidRDefault="00E20E7A" w:rsidP="00F23FA3">
      <w:pPr>
        <w:rPr>
          <w:i/>
          <w:szCs w:val="20"/>
          <w:lang w:val="es-MX"/>
        </w:rPr>
      </w:pPr>
      <w:r w:rsidRPr="00F21071">
        <w:rPr>
          <w:b/>
          <w:i/>
          <w:szCs w:val="20"/>
        </w:rPr>
        <w:t>Palabras clave:</w:t>
      </w:r>
      <w:r w:rsidRPr="00F21071">
        <w:rPr>
          <w:i/>
          <w:szCs w:val="20"/>
        </w:rPr>
        <w:t xml:space="preserve"> </w:t>
      </w:r>
      <w:r w:rsidR="00F23FA3" w:rsidRPr="00F23FA3">
        <w:rPr>
          <w:i/>
          <w:szCs w:val="20"/>
          <w:lang w:val="es-MX"/>
        </w:rPr>
        <w:t>innovación, cultura, PYMES, Guanajuato, gestión.</w:t>
      </w:r>
    </w:p>
    <w:p w14:paraId="5D60CA54" w14:textId="2DE85B02" w:rsidR="00E20E7A" w:rsidRDefault="00E20E7A" w:rsidP="00F23FA3">
      <w:pPr>
        <w:rPr>
          <w:rFonts w:ascii="Arial" w:hAnsi="Arial" w:cs="Arial"/>
          <w:color w:val="244061"/>
          <w:sz w:val="20"/>
          <w:szCs w:val="20"/>
        </w:rPr>
      </w:pPr>
    </w:p>
    <w:p w14:paraId="37116036" w14:textId="77777777" w:rsidR="00F52788" w:rsidRDefault="00F52788" w:rsidP="00264F2B">
      <w:pPr>
        <w:spacing w:line="360" w:lineRule="auto"/>
        <w:rPr>
          <w:rFonts w:ascii="Arial" w:hAnsi="Arial" w:cs="Arial"/>
          <w:color w:val="244061"/>
          <w:sz w:val="20"/>
          <w:szCs w:val="20"/>
        </w:rPr>
      </w:pPr>
    </w:p>
    <w:p w14:paraId="653ECDEF" w14:textId="77777777" w:rsidR="00D35C7F" w:rsidRPr="009324E7" w:rsidRDefault="00360D01" w:rsidP="00264F2B">
      <w:pPr>
        <w:spacing w:line="360" w:lineRule="auto"/>
        <w:rPr>
          <w:b/>
          <w:color w:val="244061"/>
          <w:sz w:val="28"/>
        </w:rPr>
      </w:pPr>
      <w:r w:rsidRPr="009324E7">
        <w:rPr>
          <w:b/>
          <w:color w:val="244061"/>
          <w:sz w:val="28"/>
        </w:rPr>
        <w:t>1. Introducción</w:t>
      </w:r>
    </w:p>
    <w:p w14:paraId="0B10ADC7" w14:textId="77777777" w:rsidR="00461645" w:rsidRDefault="00CB6698" w:rsidP="00461645">
      <w:pPr>
        <w:spacing w:line="360" w:lineRule="auto"/>
        <w:ind w:firstLine="567"/>
        <w:jc w:val="both"/>
        <w:rPr>
          <w:szCs w:val="20"/>
          <w:lang w:val="es-MX"/>
        </w:rPr>
      </w:pPr>
      <w:r w:rsidRPr="00CB6698">
        <w:rPr>
          <w:szCs w:val="20"/>
          <w:lang w:val="es-MX"/>
        </w:rPr>
        <w:t xml:space="preserve">La innovación es una prioridad para muchas organizaciones, actores y gobiernos, en la recuperación económica posterior a las restricciones más fuertes derivadas de la pandemia por COVID-19. Es por ello que contar con una radiografía de las dinámicas y prácticas alrededor de una cultura de innovación, nos permite conocer y reconocer cómo esta el brazo de la economía mexicana como lo son las PYMES </w:t>
      </w:r>
      <w:r w:rsidRPr="00CB6698">
        <w:rPr>
          <w:szCs w:val="20"/>
          <w:lang w:val="es-MX"/>
        </w:rPr>
        <w:fldChar w:fldCharType="begin" w:fldLock="1"/>
      </w:r>
      <w:r w:rsidRPr="00CB6698">
        <w:rPr>
          <w:szCs w:val="20"/>
          <w:lang w:val="es-MX"/>
        </w:rPr>
        <w:instrText>ADDIN CSL_CITATION {"citationItems":[{"id":"ITEM-1","itemData":{"author":[{"dropping-particle":"","family":"INEGI","given":"","non-dropping-particle":"","parse-names":false,"suffix":""}],"id":"ITEM-1","issued":{"date-parts":[["2014"]]},"number-of-pages":"221","publisher-place":"Cd. de México, México","title":"Censo Económico","type":"report"},"uris":["http://www.mendeley.com/documents/?uuid=9123fc7f-5db3-407d-9e8d-b5d157e2485e"]}],"mendeley":{"formattedCitation":"(INEGI, 2014)","plainTextFormattedCitation":"(INEGI, 2014)","previouslyFormattedCitation":"(INEGI, 2014)"},"properties":{"noteIndex":0},"schema":"https://github.com/citation-style-language/schema/raw/master/csl-citation.json"}</w:instrText>
      </w:r>
      <w:r w:rsidRPr="00CB6698">
        <w:rPr>
          <w:szCs w:val="20"/>
          <w:lang w:val="es-MX"/>
        </w:rPr>
        <w:fldChar w:fldCharType="separate"/>
      </w:r>
      <w:r w:rsidRPr="00CB6698">
        <w:rPr>
          <w:szCs w:val="20"/>
          <w:lang w:val="es-MX"/>
        </w:rPr>
        <w:t>(INEGI, 2014)</w:t>
      </w:r>
      <w:r w:rsidRPr="00CB6698">
        <w:rPr>
          <w:szCs w:val="20"/>
        </w:rPr>
        <w:fldChar w:fldCharType="end"/>
      </w:r>
      <w:r w:rsidRPr="00CB6698">
        <w:rPr>
          <w:szCs w:val="20"/>
          <w:lang w:val="es-MX"/>
        </w:rPr>
        <w:t>.</w:t>
      </w:r>
    </w:p>
    <w:p w14:paraId="3E1C74CF" w14:textId="2A2FE92A" w:rsidR="00CB6698" w:rsidRPr="00CB6698" w:rsidRDefault="00CB6698" w:rsidP="00461645">
      <w:pPr>
        <w:spacing w:line="360" w:lineRule="auto"/>
        <w:ind w:firstLine="567"/>
        <w:jc w:val="both"/>
        <w:rPr>
          <w:szCs w:val="20"/>
          <w:lang w:val="es-MX"/>
        </w:rPr>
      </w:pPr>
      <w:r w:rsidRPr="00CB6698">
        <w:rPr>
          <w:szCs w:val="20"/>
          <w:lang w:val="es-MX"/>
        </w:rPr>
        <w:t xml:space="preserve"> </w:t>
      </w:r>
    </w:p>
    <w:p w14:paraId="64B9EE5B" w14:textId="19E763A4" w:rsidR="00CB6698" w:rsidRDefault="00CB6698" w:rsidP="00461645">
      <w:pPr>
        <w:spacing w:line="360" w:lineRule="auto"/>
        <w:ind w:firstLine="567"/>
        <w:jc w:val="both"/>
        <w:rPr>
          <w:szCs w:val="20"/>
          <w:lang w:val="es-MX"/>
        </w:rPr>
      </w:pPr>
      <w:r w:rsidRPr="00CB6698">
        <w:rPr>
          <w:szCs w:val="20"/>
          <w:lang w:val="es-MX"/>
        </w:rPr>
        <w:t xml:space="preserve">El objetivo de esta investigación es analizar las dimensiones de la cultura de innovación de una muestra de PYMES del estado del Guanajuato con el fin de identificar elementos básicos </w:t>
      </w:r>
      <w:r w:rsidRPr="00CB6698">
        <w:rPr>
          <w:szCs w:val="20"/>
          <w:lang w:val="es-MX"/>
        </w:rPr>
        <w:lastRenderedPageBreak/>
        <w:t>para la creación, desarrollo y gestión de un espacio-laboratorio de innovación para este tipo de empresas en la región que pueda derivar en impactos sociales, económicos y culturales.</w:t>
      </w:r>
    </w:p>
    <w:p w14:paraId="5CE654D5" w14:textId="77777777" w:rsidR="00461645" w:rsidRPr="00CB6698" w:rsidRDefault="00461645" w:rsidP="00461645">
      <w:pPr>
        <w:spacing w:line="360" w:lineRule="auto"/>
        <w:ind w:firstLine="567"/>
        <w:jc w:val="both"/>
        <w:rPr>
          <w:szCs w:val="20"/>
          <w:lang w:val="es-MX"/>
        </w:rPr>
      </w:pPr>
    </w:p>
    <w:p w14:paraId="32494DF2" w14:textId="24B5A277" w:rsidR="009818A0" w:rsidRDefault="00CB6698" w:rsidP="00461645">
      <w:pPr>
        <w:spacing w:line="360" w:lineRule="auto"/>
        <w:ind w:firstLine="567"/>
        <w:jc w:val="both"/>
        <w:rPr>
          <w:szCs w:val="20"/>
          <w:lang w:val="es-MX"/>
        </w:rPr>
      </w:pPr>
      <w:r w:rsidRPr="00CB6698">
        <w:rPr>
          <w:szCs w:val="20"/>
          <w:lang w:val="es-MX"/>
        </w:rPr>
        <w:t>La investigación se encuentra en la fase de análisis y diseño del modelo final de las 6 dimensiones. Se cuenta con la base de datos de 145 empresas de la región del estado de Guanajuato. La fase de entrevista se llevó a cabo durante los meses de Julio a Septiembre 2021, por diversos medios tanto digitales como presenciales, aunque por temas de salud se optó por la primera como la opción mayormente utilizada.</w:t>
      </w:r>
    </w:p>
    <w:p w14:paraId="6726816D" w14:textId="77777777" w:rsidR="00CB6698" w:rsidRPr="009324E7" w:rsidRDefault="00CB6698" w:rsidP="00CB6698">
      <w:pPr>
        <w:spacing w:line="360" w:lineRule="auto"/>
        <w:jc w:val="both"/>
        <w:rPr>
          <w:b/>
          <w:szCs w:val="20"/>
        </w:rPr>
      </w:pPr>
    </w:p>
    <w:p w14:paraId="1D52686C" w14:textId="4B401667" w:rsidR="005C1920" w:rsidRDefault="009818A0" w:rsidP="005C1920">
      <w:pPr>
        <w:spacing w:line="360" w:lineRule="auto"/>
        <w:rPr>
          <w:b/>
          <w:color w:val="244061"/>
          <w:sz w:val="28"/>
        </w:rPr>
      </w:pPr>
      <w:r w:rsidRPr="00B60952">
        <w:rPr>
          <w:b/>
          <w:color w:val="244061"/>
          <w:sz w:val="28"/>
        </w:rPr>
        <w:t>2</w:t>
      </w:r>
      <w:r w:rsidR="005C1920" w:rsidRPr="00B60952">
        <w:rPr>
          <w:b/>
          <w:color w:val="244061"/>
          <w:sz w:val="28"/>
        </w:rPr>
        <w:t>. Marco Teórico</w:t>
      </w:r>
    </w:p>
    <w:p w14:paraId="74A84528" w14:textId="77777777" w:rsidR="00CB6698" w:rsidRPr="00B60952" w:rsidRDefault="00CB6698" w:rsidP="005C1920">
      <w:pPr>
        <w:spacing w:line="360" w:lineRule="auto"/>
        <w:rPr>
          <w:b/>
          <w:color w:val="244061"/>
          <w:sz w:val="28"/>
        </w:rPr>
      </w:pPr>
    </w:p>
    <w:p w14:paraId="4AF60FBB" w14:textId="76720444" w:rsidR="00CB6698" w:rsidRPr="00D911C9" w:rsidRDefault="00CB6698" w:rsidP="00CB6698">
      <w:pPr>
        <w:numPr>
          <w:ilvl w:val="0"/>
          <w:numId w:val="4"/>
        </w:numPr>
        <w:spacing w:line="360" w:lineRule="auto"/>
        <w:jc w:val="both"/>
        <w:rPr>
          <w:b/>
          <w:bCs/>
          <w:sz w:val="28"/>
          <w:szCs w:val="28"/>
          <w:lang w:val="es-MX"/>
        </w:rPr>
      </w:pPr>
      <w:r w:rsidRPr="00D911C9">
        <w:rPr>
          <w:b/>
          <w:bCs/>
          <w:sz w:val="28"/>
          <w:szCs w:val="28"/>
          <w:lang w:val="es-MX"/>
        </w:rPr>
        <w:t>La innovación: Contexto</w:t>
      </w:r>
    </w:p>
    <w:p w14:paraId="5CC65013" w14:textId="77777777" w:rsidR="00CB6698" w:rsidRPr="00CB6698" w:rsidRDefault="00CB6698" w:rsidP="00CB6698">
      <w:pPr>
        <w:spacing w:line="360" w:lineRule="auto"/>
        <w:jc w:val="both"/>
        <w:rPr>
          <w:lang w:val="es-MX"/>
        </w:rPr>
      </w:pPr>
    </w:p>
    <w:p w14:paraId="3EFACC42" w14:textId="77777777" w:rsidR="00CB6698" w:rsidRPr="00CB6698" w:rsidRDefault="00CB6698" w:rsidP="00461645">
      <w:pPr>
        <w:spacing w:line="360" w:lineRule="auto"/>
        <w:ind w:firstLine="567"/>
        <w:jc w:val="both"/>
        <w:rPr>
          <w:lang w:val="es-MX"/>
        </w:rPr>
      </w:pPr>
      <w:r w:rsidRPr="00CB6698">
        <w:rPr>
          <w:lang w:val="es-MX"/>
        </w:rPr>
        <w:t>El tema de innovación es un área importante que evoca una serie de quehaceres dentro de las organizaciones. Existen diversas formas de definirse. Pero aproximadamente desde la década de los 80’s, varios estudios han buscar definir el significado y cómo ha impactado en la estructura de las organizaciones, sin embargo, en los últimos 20 años se ha impulsado desde las áreas de investigación, pero también en las de desarrollo empresarial impulsar las formas y dinámicas alrededor de un ambiente de innovación</w:t>
      </w:r>
      <w:r w:rsidRPr="00CB6698">
        <w:rPr>
          <w:lang w:val="es-MX"/>
        </w:rPr>
        <w:fldChar w:fldCharType="begin" w:fldLock="1"/>
      </w:r>
      <w:r w:rsidRPr="00CB6698">
        <w:rPr>
          <w:lang w:val="es-MX"/>
        </w:rPr>
        <w:instrText>ADDIN CSL_CITATION {"citationItems":[{"id":"ITEM-1","itemData":{"DOI":"10.1016/j.ijis.2018.08.004","ISSN":"25892975","abstract":"What is our current understanding of innovation and how many types of innovation do we know? Broadly, innovation landscapes are characterized by well-established categories, such as product, process, organizational, and marketing innovation, explained and theorized in terms of their links with technological innovation. However global challenges and changes in the structure of knowledge production, have led to diverse innovations, and recognizing and classifying such innovations is more complex, fragmented, and geographically dispersed than ever before. The progressive incorporation of hidden and non-technological innovations, together with the emergence of the fourth industrial revolution, is contributing to change our understanding of innovation and its measurement. This paper provides an overview of the most salient types of innovation in recent decades, enabling both researchers and practitioners to navigate the complex web of innovation definitions and typologies. Innovation studies face the challenge of finding a comprehensive and inclusive definition that captures the significance of innovation, and overcoming the terminological ‘Babel'ization and increased fragmentation of the field of innovation research.","author":[{"dropping-particle":"","family":"Edwards-Schachter","given":"Mónica","non-dropping-particle":"","parse-names":false,"suffix":""}],"container-title":"International Journal of Innovation Studies","id":"ITEM-1","issue":"2","issued":{"date-parts":[["2018"]]},"page":"65-79","title":"The nature and variety of innovation","type":"article-journal","volume":"2"},"uris":["http://www.mendeley.com/documents/?uuid=637c554e-9652-4870-b071-c00d8874db10"]}],"mendeley":{"formattedCitation":"(Edwards-Schachter, 2018)","plainTextFormattedCitation":"(Edwards-Schachter, 2018)","previouslyFormattedCitation":"(Edwards-Schachter, 2018)"},"properties":{"noteIndex":0},"schema":"https://github.com/citation-style-language/schema/raw/master/csl-citation.json"}</w:instrText>
      </w:r>
      <w:r w:rsidRPr="00CB6698">
        <w:rPr>
          <w:lang w:val="es-MX"/>
        </w:rPr>
        <w:fldChar w:fldCharType="separate"/>
      </w:r>
      <w:r w:rsidRPr="00CB6698">
        <w:rPr>
          <w:lang w:val="es-MX"/>
        </w:rPr>
        <w:t>(Edwards-Schachter, 2018)</w:t>
      </w:r>
      <w:r w:rsidRPr="00CB6698">
        <w:fldChar w:fldCharType="end"/>
      </w:r>
      <w:r w:rsidRPr="00CB6698">
        <w:rPr>
          <w:lang w:val="es-MX"/>
        </w:rPr>
        <w:t>.</w:t>
      </w:r>
    </w:p>
    <w:p w14:paraId="367AD446" w14:textId="0B514972" w:rsidR="00CB6698" w:rsidRDefault="00CB6698" w:rsidP="00461645">
      <w:pPr>
        <w:spacing w:line="360" w:lineRule="auto"/>
        <w:ind w:firstLine="567"/>
        <w:jc w:val="both"/>
        <w:rPr>
          <w:lang w:val="es-MX"/>
        </w:rPr>
      </w:pPr>
      <w:r w:rsidRPr="00CB6698">
        <w:rPr>
          <w:lang w:val="es-MX"/>
        </w:rPr>
        <w:t xml:space="preserve">Al mencionar innovación como concepto en la literatura irremediablemente nos invita a enmarcarlo desde el paradigma del desarrollo económico, en el que Schumpeter </w:t>
      </w:r>
      <w:r w:rsidRPr="00CB6698">
        <w:rPr>
          <w:lang w:val="es-MX"/>
        </w:rPr>
        <w:fldChar w:fldCharType="begin" w:fldLock="1"/>
      </w:r>
      <w:r w:rsidRPr="00CB6698">
        <w:rPr>
          <w:lang w:val="es-MX"/>
        </w:rPr>
        <w:instrText>ADDIN CSL_CITATION {"citationItems":[{"id":"ITEM-1","itemData":{"author":[{"dropping-particle":"","family":"Schumpeter","given":"J.A","non-dropping-particle":"","parse-names":false,"suffix":""}],"editor":[{"dropping-particle":"","family":"Harvard University Press","given":"","non-dropping-particle":"","parse-names":false,"suffix":""}],"id":"ITEM-1","issued":{"date-parts":[["1934"]]},"number-of-pages":"225","title":"The Theory of Economic Development","type":"book"},"suppress-author":1,"uris":["http://www.mendeley.com/documents/?uuid=d71e4980-365c-4676-a554-896648bfc6b4"]}],"mendeley":{"formattedCitation":"(1934)","plainTextFormattedCitation":"(1934)","previouslyFormattedCitation":"(1934)"},"properties":{"noteIndex":0},"schema":"https://github.com/citation-style-language/schema/raw/master/csl-citation.json"}</w:instrText>
      </w:r>
      <w:r w:rsidRPr="00CB6698">
        <w:rPr>
          <w:lang w:val="es-MX"/>
        </w:rPr>
        <w:fldChar w:fldCharType="separate"/>
      </w:r>
      <w:r w:rsidRPr="00CB6698">
        <w:rPr>
          <w:lang w:val="es-MX"/>
        </w:rPr>
        <w:t>(1934)</w:t>
      </w:r>
      <w:r w:rsidRPr="00CB6698">
        <w:fldChar w:fldCharType="end"/>
      </w:r>
      <w:r w:rsidRPr="00CB6698">
        <w:rPr>
          <w:lang w:val="es-MX"/>
        </w:rPr>
        <w:t xml:space="preserve"> a través de sus trabajos otorgó un marco de referencia en la primera década del siglo XX. </w:t>
      </w:r>
    </w:p>
    <w:p w14:paraId="487B5AA1" w14:textId="77777777" w:rsidR="00461645" w:rsidRPr="00CB6698" w:rsidRDefault="00461645" w:rsidP="00461645">
      <w:pPr>
        <w:spacing w:line="360" w:lineRule="auto"/>
        <w:ind w:firstLine="567"/>
        <w:jc w:val="both"/>
        <w:rPr>
          <w:lang w:val="es-MX"/>
        </w:rPr>
      </w:pPr>
    </w:p>
    <w:p w14:paraId="212E422C" w14:textId="3F509F84" w:rsidR="00CB6698" w:rsidRDefault="00CB6698" w:rsidP="00461645">
      <w:pPr>
        <w:spacing w:line="360" w:lineRule="auto"/>
        <w:ind w:firstLine="567"/>
        <w:jc w:val="both"/>
        <w:rPr>
          <w:lang w:val="es-MX"/>
        </w:rPr>
      </w:pPr>
      <w:r w:rsidRPr="00CB6698">
        <w:rPr>
          <w:lang w:val="es-MX"/>
        </w:rPr>
        <w:t>Para el autor de origen austriaco, que por cierto tuvo diversas contribuciones no sólo en el terreno económico sino también en el político en el contexto de su época; tuvo acceso a una revolución en los procesos diversos de producción en la que fuerzas tangibles e intangibles interactuaban en nuevos ciclos económicos, creando, destruyendo y recreando tanto productos, servicios y mercados.  Estos factores que Schumpeter veía y que siendo afectado por la crisis de 1929 le permitió contar con una visión particular de los medios de producción, los recursos naturales, el trabajo, la tecnología y la innovación con relación a los aspectos socioculturales.</w:t>
      </w:r>
    </w:p>
    <w:p w14:paraId="13045A4E" w14:textId="77777777" w:rsidR="00461645" w:rsidRPr="00CB6698" w:rsidRDefault="00461645" w:rsidP="00461645">
      <w:pPr>
        <w:spacing w:line="360" w:lineRule="auto"/>
        <w:ind w:firstLine="567"/>
        <w:jc w:val="both"/>
        <w:rPr>
          <w:lang w:val="es-MX"/>
        </w:rPr>
      </w:pPr>
    </w:p>
    <w:p w14:paraId="06AD4311" w14:textId="29092386" w:rsidR="00CB6698" w:rsidRDefault="00CB6698" w:rsidP="00461645">
      <w:pPr>
        <w:spacing w:line="360" w:lineRule="auto"/>
        <w:ind w:firstLine="567"/>
        <w:jc w:val="both"/>
        <w:rPr>
          <w:lang w:val="es-MX"/>
        </w:rPr>
      </w:pPr>
      <w:r w:rsidRPr="00CB6698">
        <w:rPr>
          <w:lang w:val="es-MX"/>
        </w:rPr>
        <w:lastRenderedPageBreak/>
        <w:t xml:space="preserve">De este contexto de cambio industrial, crisis y también los primeros conflictos globales, durante las primeras dos décadas del siglo XX, Schumpeter menciona que el aumento de producción depende de la relación de los factores productivos con las tasas que existe entre tecnología e innovación y el intercambio del ambiente-sociocultural de la época. Elementos que se relacionan desde terrenos intangibles (conocimiento) y lo tangible (materias primas), sin embargo, el contexto determina los efectos de esta combinación. Lo anterior, se relaciona con lo mencionado por Martin </w:t>
      </w:r>
      <w:r w:rsidRPr="00CB6698">
        <w:rPr>
          <w:lang w:val="es-MX"/>
        </w:rPr>
        <w:fldChar w:fldCharType="begin" w:fldLock="1"/>
      </w:r>
      <w:r w:rsidRPr="00CB6698">
        <w:rPr>
          <w:lang w:val="es-MX"/>
        </w:rPr>
        <w:instrText>ADDIN CSL_CITATION {"citationItems":[{"id":"ITEM-1","itemData":{"DOI":"10.1093/scipol/scv077","ISSN":"03023427","abstract":"With the field of innovation studies (IS) now half a century old, the occasion has been marked by several studies looking back to identify the main advances made over its lifetime. Starting from a list of 20 advances over the field's history, this discussion paper sets out 20 challenges for coming decades. The intention is to prompt a debate within the IS community on what are, or should be, the key challenges, and more generally on what sort of field we aspire to be. It is argued that the empirical focus of our studies has failed to keep pace with the fast changing world, especially the shift from manufacturing to services and the increasingly urgent need for sustainability. The way we conceptualise, define, operationalise and analyse 'innovation' seems somewhat rooted in the past, leaving us less able to grapple with other less visible or 'dark' forms of innovation.","author":[{"dropping-particle":"","family":"Martin","given":"Ben R.","non-dropping-particle":"","parse-names":false,"suffix":""}],"container-title":"Science and Public Policy","id":"ITEM-1","issue":"3","issued":{"date-parts":[["2016"]]},"page":"432-450","title":"Twenty challenges for innovation studies","type":"article-journal","volume":"43"},"uris":["http://www.mendeley.com/documents/?uuid=ce1b97a0-69e3-4ec9-b8de-4ae67f9adbff"]}],"mendeley":{"formattedCitation":"(Martin, 2016)","plainTextFormattedCitation":"(Martin, 2016)","previouslyFormattedCitation":"(2016)"},"properties":{"noteIndex":0},"schema":"https://github.com/citation-style-language/schema/raw/master/csl-citation.json"}</w:instrText>
      </w:r>
      <w:r w:rsidRPr="00CB6698">
        <w:rPr>
          <w:lang w:val="es-MX"/>
        </w:rPr>
        <w:fldChar w:fldCharType="separate"/>
      </w:r>
      <w:r w:rsidRPr="00CB6698">
        <w:rPr>
          <w:lang w:val="es-MX"/>
        </w:rPr>
        <w:t>(Martin, 2016)</w:t>
      </w:r>
      <w:r w:rsidRPr="00CB6698">
        <w:fldChar w:fldCharType="end"/>
      </w:r>
      <w:r w:rsidRPr="00CB6698">
        <w:rPr>
          <w:lang w:val="es-MX"/>
        </w:rPr>
        <w:t xml:space="preserve">, quien señala la importancia de la sustentabilidad en esta segunda mitad del siglo XXI y que este paradigma determinará el tipo de innovación en el cual se invertirá, tal vez dando luz a formas “obscuras” de innovación, </w:t>
      </w:r>
      <w:r w:rsidRPr="00CB6698">
        <w:rPr>
          <w:lang w:val="es-MX"/>
        </w:rPr>
        <w:fldChar w:fldCharType="begin" w:fldLock="1"/>
      </w:r>
      <w:r w:rsidRPr="00CB6698">
        <w:rPr>
          <w:lang w:val="es-MX"/>
        </w:rPr>
        <w:instrText>ADDIN CSL_CITATION {"citationItems":[{"id":"ITEM-1","itemData":{"DOI":"10.1093/scipol/scv077","ISSN":"03023427","abstract":"With the field of innovation studies (IS) now half a century old, the occasion has been marked by several studies looking back to identify the main advances made over its lifetime. Starting from a list of 20 advances over the field's history, this discussion paper sets out 20 challenges for coming decades. The intention is to prompt a debate within the IS community on what are, or should be, the key challenges, and more generally on what sort of field we aspire to be. It is argued that the empirical focus of our studies has failed to keep pace with the fast changing world, especially the shift from manufacturing to services and the increasingly urgent need for sustainability. The way we conceptualise, define, operationalise and analyse 'innovation' seems somewhat rooted in the past, leaving us less able to grapple with other less visible or 'dark' forms of innovation.","author":[{"dropping-particle":"","family":"Martin","given":"Ben R.","non-dropping-particle":"","parse-names":false,"suffix":""}],"container-title":"Science and Public Policy","id":"ITEM-1","issue":"3","issued":{"date-parts":[["2016"]]},"page":"432-450","title":"Twenty challenges for innovation studies","type":"article-journal","volume":"43"},"uris":["http://www.mendeley.com/documents/?uuid=ce1b97a0-69e3-4ec9-b8de-4ae67f9adbff"]}],"mendeley":{"formattedCitation":"(Martin, 2016)","plainTextFormattedCitation":"(Martin, 2016)","previouslyFormattedCitation":"(Martin, 2016, pp. 2–3)"},"properties":{"noteIndex":0},"schema":"https://github.com/citation-style-language/schema/raw/master/csl-citation.json"}</w:instrText>
      </w:r>
      <w:r w:rsidRPr="00CB6698">
        <w:rPr>
          <w:lang w:val="es-MX"/>
        </w:rPr>
        <w:fldChar w:fldCharType="separate"/>
      </w:r>
      <w:r w:rsidRPr="00CB6698">
        <w:rPr>
          <w:lang w:val="es-MX"/>
        </w:rPr>
        <w:t>(Martin, 2016)</w:t>
      </w:r>
      <w:r w:rsidRPr="00CB6698">
        <w:fldChar w:fldCharType="end"/>
      </w:r>
      <w:r w:rsidRPr="00CB6698">
        <w:rPr>
          <w:lang w:val="es-MX"/>
        </w:rPr>
        <w:t xml:space="preserve"> siendo el verdadero reto de la gestión de la innovación en Siglo XXI.</w:t>
      </w:r>
    </w:p>
    <w:p w14:paraId="5EA4A691" w14:textId="77777777" w:rsidR="00461645" w:rsidRPr="00CB6698" w:rsidRDefault="00461645" w:rsidP="00461645">
      <w:pPr>
        <w:spacing w:line="360" w:lineRule="auto"/>
        <w:ind w:firstLine="567"/>
        <w:jc w:val="both"/>
        <w:rPr>
          <w:lang w:val="es-MX"/>
        </w:rPr>
      </w:pPr>
    </w:p>
    <w:p w14:paraId="3FF295AE" w14:textId="77777777" w:rsidR="00CB6698" w:rsidRPr="00CB6698" w:rsidRDefault="00CB6698" w:rsidP="00461645">
      <w:pPr>
        <w:spacing w:line="360" w:lineRule="auto"/>
        <w:ind w:firstLine="567"/>
        <w:jc w:val="both"/>
        <w:rPr>
          <w:lang w:val="es-MX"/>
        </w:rPr>
      </w:pPr>
      <w:r w:rsidRPr="00CB6698">
        <w:rPr>
          <w:lang w:val="es-MX"/>
        </w:rPr>
        <w:t xml:space="preserve">Para Schumpeter (1934) existen dos categorías de estos factores: 1) Aquellos relacionados con el </w:t>
      </w:r>
      <w:r w:rsidRPr="00CB6698">
        <w:rPr>
          <w:i/>
          <w:iCs/>
          <w:lang w:val="es-MX"/>
        </w:rPr>
        <w:t>crecimiento económico</w:t>
      </w:r>
      <w:r w:rsidRPr="00CB6698">
        <w:rPr>
          <w:lang w:val="es-MX"/>
        </w:rPr>
        <w:t xml:space="preserve">, que son factores materiales, físicos y tangibles, que, si bien generan un cambio en el sistema económico, este es lento, 2) Los elementos de los factores tecnológicos, sociales y culturales, referidos a la innovación y al desarrollo tecnológico que proveen de una dinámica diferente y son definidos por el autor como factores de </w:t>
      </w:r>
      <w:r w:rsidRPr="00CB6698">
        <w:rPr>
          <w:i/>
          <w:iCs/>
          <w:lang w:val="es-MX"/>
        </w:rPr>
        <w:t>evolución económica</w:t>
      </w:r>
      <w:r w:rsidRPr="00CB6698">
        <w:rPr>
          <w:lang w:val="es-MX"/>
        </w:rPr>
        <w:t>.</w:t>
      </w:r>
    </w:p>
    <w:p w14:paraId="52627DC5" w14:textId="77777777" w:rsidR="00461645" w:rsidRDefault="00461645" w:rsidP="00CB6698">
      <w:pPr>
        <w:spacing w:line="360" w:lineRule="auto"/>
        <w:jc w:val="both"/>
        <w:rPr>
          <w:lang w:val="es-MX"/>
        </w:rPr>
      </w:pPr>
    </w:p>
    <w:p w14:paraId="5864F805" w14:textId="6D96EF2D" w:rsidR="00CB6698" w:rsidRPr="00CB6698" w:rsidRDefault="00CB6698" w:rsidP="00461645">
      <w:pPr>
        <w:spacing w:line="360" w:lineRule="auto"/>
        <w:ind w:firstLine="567"/>
        <w:jc w:val="both"/>
        <w:rPr>
          <w:lang w:val="es-MX"/>
        </w:rPr>
      </w:pPr>
      <w:r w:rsidRPr="00CB6698">
        <w:rPr>
          <w:lang w:val="es-MX"/>
        </w:rPr>
        <w:t xml:space="preserve">Este proceso de contextualización de la innovación, permite desde este trabajo abordar una relación entre el trabajo de Schumpeter (1934) y lo que el Global Entrepreneurship Monitor </w:t>
      </w:r>
      <w:r w:rsidRPr="00CB6698">
        <w:rPr>
          <w:lang w:val="es-MX"/>
        </w:rPr>
        <w:fldChar w:fldCharType="begin" w:fldLock="1"/>
      </w:r>
      <w:r w:rsidRPr="00CB6698">
        <w:rPr>
          <w:lang w:val="es-MX"/>
        </w:rPr>
        <w:instrText>ADDIN CSL_CITATION {"citationItems":[{"id":"ITEM-1","itemData":{"abstract":"The 2016 Global Entrepreneurship Monitor (GEM) report you are about to read is the 18th consecutive global report that the GEM consortium has published as part of its ambitious research project since it was founded in 1997 by Babson College and the London Business School. The first report was launched in 1999 and encompassed 10 developed economies – eight from the OECD (Canada, Denmark, Finland, France, Germany, Israel, Italy and the United Kingdom) as well as Japan and the United States of America. Now, in 2016, GEM is a global consortium that conducts research on 65 world economies. GEM brings together over 400 researchers from across the globe and includes more than 100 institutions every year. The involvement of all these individuals and institutions undoubtedly makes GEM the largest study on entrepreneurship in the world. A very special word of thanks goes to the founding institutions (Babson College and London Business School), as well as GEM Global’s sponsors: Babson College, Universidad del Desarrollo, Universiti Tun Abdul Razak and Instituto Tecnológico de Monterrey, as well as the more than 150 national sponsors that provide the resources allowing GEM to be the richest of all databases in the field of entrepreneurship. If you are interested in learning how you or your institution can support us in our mission, please feel free to contact us. The GEM consortium is an entrepreneurial venture in itself, as we are continuously evolving to offer the most comprehensive information available on the very complex phenomenon of entrepreneurship. We are also working to organize and offer information and recommendations in new formats, to take advantage of the possibilities that Big Data offer to our research, to produce more customized and regionally adapted information and reports, and to cover the new forms of entrepreneurial action taking place in today’s vibrant ecosystems. Expect some exciting news and developments in the coming months.","author":[{"dropping-particle":"","family":"Global Entrepreneurship Research Association","given":"","non-dropping-particle":"","parse-names":false,"suffix":""}],"id":"ITEM-1","issued":{"date-parts":[["2017"]]},"page":"180","title":"Global Entrepreneurship Monitor - Global Report 2016/17","type":"article-journal"},"uris":["http://www.mendeley.com/documents/?uuid=c1c53149-8c28-42ef-8c51-0aab63fb40e3"]}],"mendeley":{"formattedCitation":"(Global Entrepreneurship Research Association, 2017)","plainTextFormattedCitation":"(Global Entrepreneurship Research Association, 2017)","previouslyFormattedCitation":"(Global Entrepreneurship Research Association, 2017)"},"properties":{"noteIndex":0},"schema":"https://github.com/citation-style-language/schema/raw/master/csl-citation.json"}</w:instrText>
      </w:r>
      <w:r w:rsidRPr="00CB6698">
        <w:rPr>
          <w:lang w:val="es-MX"/>
        </w:rPr>
        <w:fldChar w:fldCharType="separate"/>
      </w:r>
      <w:r w:rsidRPr="00CB6698">
        <w:rPr>
          <w:lang w:val="es-MX"/>
        </w:rPr>
        <w:t>(Global Entrepreneurship Research Association, 2017)</w:t>
      </w:r>
      <w:r w:rsidRPr="00CB6698">
        <w:fldChar w:fldCharType="end"/>
      </w:r>
      <w:r w:rsidRPr="00CB6698">
        <w:rPr>
          <w:lang w:val="es-MX"/>
        </w:rPr>
        <w:t xml:space="preserve"> que menciona alrededor de las economías a nivel global. En este reporte se establecen las conexiones entre innovación, emprendimiento y calidad de vida de diversos países. Sus recomendaciones reconocen la necesidad de integrar a la innovación en las agendas empresariales tanto de grandes empresas, como de pequeñas y medianas para propiciar entornos emprendededores revitalizados. El reto consiste en facilitar esos ecosistemas y la unión coordinada entre diversos niveles de gobierno, sector educativo y privado.</w:t>
      </w:r>
    </w:p>
    <w:p w14:paraId="6B469A50" w14:textId="77777777" w:rsidR="00461645" w:rsidRDefault="00461645" w:rsidP="00CB6698">
      <w:pPr>
        <w:spacing w:line="360" w:lineRule="auto"/>
        <w:jc w:val="both"/>
        <w:rPr>
          <w:lang w:val="es-MX"/>
        </w:rPr>
      </w:pPr>
    </w:p>
    <w:p w14:paraId="348BC06B" w14:textId="277FC21D" w:rsidR="00CB6698" w:rsidRPr="00CB6698" w:rsidRDefault="00CB6698" w:rsidP="00461645">
      <w:pPr>
        <w:spacing w:line="360" w:lineRule="auto"/>
        <w:ind w:firstLine="567"/>
        <w:jc w:val="both"/>
        <w:rPr>
          <w:lang w:val="es-MX"/>
        </w:rPr>
      </w:pPr>
      <w:r w:rsidRPr="00CB6698">
        <w:rPr>
          <w:lang w:val="es-MX"/>
        </w:rPr>
        <w:t xml:space="preserve">Sin esos factores que engarzan los esfuerzos, pueden perderse los articuladores creados con antelación en países como México, que se ha mantenido en el ranking de innovación en el lugar 55 durante 2020 y 2021 </w:t>
      </w:r>
      <w:r w:rsidRPr="00CB6698">
        <w:rPr>
          <w:lang w:val="es-MX"/>
        </w:rPr>
        <w:fldChar w:fldCharType="begin" w:fldLock="1"/>
      </w:r>
      <w:r w:rsidRPr="00CB6698">
        <w:rPr>
          <w:lang w:val="es-MX"/>
        </w:rPr>
        <w:instrText>ADDIN CSL_CITATION {"citationItems":[{"id":"ITEM-1","itemData":{"DOI":"10.34667/tind.44315","ISBN":"9789280532494","abstract":"The Global Innovation Index by INSEAD is an annual publication of INSEAD which features, among others, the Global Innovation Index (GII), a composite indicator that ranks countries/economies in terms of their enabling environment to innovation and their innovation outputs.","author":[{"dropping-particle":"","family":"WIPO","given":"","non-dropping-particle":"","parse-names":false,"suffix":""}],"container-title":"Malaysian Science and Technology Information Centre (MASTIC)","id":"ITEM-1","issue":"June","issued":{"date-parts":[["2021"]]},"number-of-pages":"226","title":"Global Innovation Index 2021","type":"book"},"uris":["http://www.mendeley.com/documents/?uuid=0cb86d2d-1017-419a-b6f3-aef8ff786bd4"]}],"mendeley":{"formattedCitation":"(WIPO, 2021b)","plainTextFormattedCitation":"(WIPO, 2021b)","previouslyFormattedCitation":"(WIPO, 2021b)"},"properties":{"noteIndex":0},"schema":"https://github.com/citation-style-language/schema/raw/master/csl-citation.json"}</w:instrText>
      </w:r>
      <w:r w:rsidRPr="00CB6698">
        <w:rPr>
          <w:lang w:val="es-MX"/>
        </w:rPr>
        <w:fldChar w:fldCharType="separate"/>
      </w:r>
      <w:r w:rsidRPr="00CB6698">
        <w:rPr>
          <w:lang w:val="es-MX"/>
        </w:rPr>
        <w:t>(WIPO, 2021b)</w:t>
      </w:r>
      <w:r w:rsidRPr="00CB6698">
        <w:fldChar w:fldCharType="end"/>
      </w:r>
      <w:r w:rsidRPr="00CB6698">
        <w:rPr>
          <w:lang w:val="es-MX"/>
        </w:rPr>
        <w:t>, en unos años seriamente afectados por COVID-</w:t>
      </w:r>
      <w:r w:rsidRPr="00CB6698">
        <w:rPr>
          <w:lang w:val="es-MX"/>
        </w:rPr>
        <w:lastRenderedPageBreak/>
        <w:t xml:space="preserve">19 y que la inversión, como menciona Schumpeter (1934) condicionada por el contexto al parecer estar orientada por tecnología asistida en diversos procesos digitales </w:t>
      </w:r>
      <w:r w:rsidRPr="00CB6698">
        <w:rPr>
          <w:lang w:val="es-MX"/>
        </w:rPr>
        <w:fldChar w:fldCharType="begin" w:fldLock="1"/>
      </w:r>
      <w:r w:rsidRPr="00CB6698">
        <w:rPr>
          <w:lang w:val="es-MX"/>
        </w:rPr>
        <w:instrText>ADDIN CSL_CITATION {"citationItems":[{"id":"ITEM-1","itemData":{"DOI":"10.34667/tind.42582 Attribution","ISBN":"9789280532579","author":[{"dropping-particle":"","family":"WIPO","given":"","non-dropping-particle":"","parse-names":false,"suffix":""}],"id":"ITEM-1","issued":{"date-parts":[["2021"]]},"title":"Assistive Technology - Technology Trends 2021","type":"book"},"uris":["http://www.mendeley.com/documents/?uuid=817415f5-5c63-4ef5-83c0-ac5ce6496724"]}],"mendeley":{"formattedCitation":"(WIPO, 2021a)","plainTextFormattedCitation":"(WIPO, 2021a)","previouslyFormattedCitation":"(WIPO, 2021a)"},"properties":{"noteIndex":0},"schema":"https://github.com/citation-style-language/schema/raw/master/csl-citation.json"}</w:instrText>
      </w:r>
      <w:r w:rsidRPr="00CB6698">
        <w:rPr>
          <w:lang w:val="es-MX"/>
        </w:rPr>
        <w:fldChar w:fldCharType="separate"/>
      </w:r>
      <w:r w:rsidRPr="00CB6698">
        <w:rPr>
          <w:lang w:val="es-MX"/>
        </w:rPr>
        <w:t>(WIPO, 2021a)</w:t>
      </w:r>
      <w:r w:rsidRPr="00CB6698">
        <w:fldChar w:fldCharType="end"/>
      </w:r>
      <w:r w:rsidRPr="00CB6698">
        <w:rPr>
          <w:lang w:val="es-MX"/>
        </w:rPr>
        <w:t>.</w:t>
      </w:r>
    </w:p>
    <w:p w14:paraId="68EB14AC" w14:textId="77777777" w:rsidR="00461645" w:rsidRDefault="00461645" w:rsidP="00CB6698">
      <w:pPr>
        <w:spacing w:line="360" w:lineRule="auto"/>
        <w:jc w:val="both"/>
        <w:rPr>
          <w:lang w:val="es-MX"/>
        </w:rPr>
      </w:pPr>
    </w:p>
    <w:p w14:paraId="70619239" w14:textId="0E9AEFB8" w:rsidR="00CB6698" w:rsidRPr="00CB6698" w:rsidRDefault="00CB6698" w:rsidP="00461645">
      <w:pPr>
        <w:spacing w:line="360" w:lineRule="auto"/>
        <w:ind w:firstLine="567"/>
        <w:jc w:val="both"/>
        <w:rPr>
          <w:lang w:val="es-MX"/>
        </w:rPr>
      </w:pPr>
      <w:r w:rsidRPr="00CB6698">
        <w:rPr>
          <w:lang w:val="es-MX"/>
        </w:rPr>
        <w:t xml:space="preserve">Para Schumpeter (1934) la innovación es una palanca de la economía y de nuevos ciclos económicos. Sin ella, la entropía generaría menos beneficio para todos los actores y la generación y acumulación de riqueza se detendría </w:t>
      </w:r>
      <w:r w:rsidRPr="00CB6698">
        <w:rPr>
          <w:lang w:val="es-MX"/>
        </w:rPr>
        <w:fldChar w:fldCharType="begin" w:fldLock="1"/>
      </w:r>
      <w:r w:rsidRPr="00CB6698">
        <w:rPr>
          <w:lang w:val="es-MX"/>
        </w:rPr>
        <w:instrText>ADDIN CSL_CITATION {"citationItems":[{"id":"ITEM-1","itemData":{"ISSN":"0122-1701","abstract":"En el siguiente artículo se muestran, de una parte, los aportes de Schumpeter en la construcción de una teoría del Desarrollo económico fundamentada en los procesos de innovación y desarrollos Tecnológicos y en el cambio socio-cultural. En segunda lugar, se plantea cómo los posteriores desarrollos (específicamente de corte Neoclásico) cayeron en un determinismo tecnológico al aislar del Desarrollo económico el elemento socio-cultural.","author":[{"dropping-particle":"","family":"Suárez","given":"Omar Montoya","non-dropping-particle":"","parse-names":false,"suffix":""}],"container-title":"Scientia Et Technica","id":"ITEM-1","issue":"25","issued":{"date-parts":[["2004"]]},"page":"209-213","title":"Schumpeter, Innovación Y Determinismo Tecnológico","type":"article-journal","volume":"2"},"uris":["http://www.mendeley.com/documents/?uuid=d5cd08fa-33c9-4080-8a55-5c6d62be6f4a"]}],"mendeley":{"formattedCitation":"(Suárez, 2004)","plainTextFormattedCitation":"(Suárez, 2004)","previouslyFormattedCitation":"(Suárez, 2004)"},"properties":{"noteIndex":0},"schema":"https://github.com/citation-style-language/schema/raw/master/csl-citation.json"}</w:instrText>
      </w:r>
      <w:r w:rsidRPr="00CB6698">
        <w:rPr>
          <w:lang w:val="es-MX"/>
        </w:rPr>
        <w:fldChar w:fldCharType="separate"/>
      </w:r>
      <w:r w:rsidRPr="00CB6698">
        <w:rPr>
          <w:lang w:val="es-MX"/>
        </w:rPr>
        <w:t>(Suárez, 2004)</w:t>
      </w:r>
      <w:r w:rsidRPr="00CB6698">
        <w:fldChar w:fldCharType="end"/>
      </w:r>
      <w:r w:rsidRPr="00CB6698">
        <w:rPr>
          <w:lang w:val="es-MX"/>
        </w:rPr>
        <w:t>.</w:t>
      </w:r>
    </w:p>
    <w:p w14:paraId="113D530A" w14:textId="77777777" w:rsidR="00461645" w:rsidRDefault="00461645" w:rsidP="00CB6698">
      <w:pPr>
        <w:spacing w:line="360" w:lineRule="auto"/>
        <w:jc w:val="both"/>
        <w:rPr>
          <w:lang w:val="es-MX"/>
        </w:rPr>
      </w:pPr>
    </w:p>
    <w:p w14:paraId="6A338E3D" w14:textId="1D84F87B" w:rsidR="00CB6698" w:rsidRPr="00CB6698" w:rsidRDefault="00CB6698" w:rsidP="00461645">
      <w:pPr>
        <w:spacing w:line="360" w:lineRule="auto"/>
        <w:ind w:firstLine="567"/>
        <w:jc w:val="both"/>
        <w:rPr>
          <w:lang w:val="es-MX"/>
        </w:rPr>
      </w:pPr>
      <w:r w:rsidRPr="00CB6698">
        <w:rPr>
          <w:lang w:val="es-MX"/>
        </w:rPr>
        <w:t xml:space="preserve">Para diversos autores y herramientas, la medición de la innovación permite contribuir no solo con una ampliación del concepto desde terrenos pragmáticos, sino que permite, como menciona Schumpeter (1934) y otros atender al contexto en cuestión. Por ejemplo, para el Manual de Oslo </w:t>
      </w:r>
      <w:r w:rsidRPr="00CB6698">
        <w:rPr>
          <w:lang w:val="es-MX"/>
        </w:rPr>
        <w:fldChar w:fldCharType="begin" w:fldLock="1"/>
      </w:r>
      <w:r w:rsidRPr="00CB6698">
        <w:rPr>
          <w:lang w:val="es-MX"/>
        </w:rPr>
        <w:instrText>ADDIN CSL_CITATION {"citationItems":[{"id":"ITEM-1","itemData":{"DOI":"10.1787/9789264065659-es","ISBN":"8461127811","ISSN":"9264013083","PMID":"15131292","abstract":"PRÓLOGO. Desde hace tiempo se sabe que la producción, la explotación y la difusión del conocimiento son indispensables para el crecimiento económico, para el desarrollo y para el bienestar de las naciones. Por lo tanto es esencial la mejora de la medida de la innovación. Con el paso del tiempo, la naturaleza y el contexto de la innovación han evolucionado. Lo mismo sucede con los indicadores necesarios para estudiar esta evolución y proporcionar a los responsables de las políticas unas convenientes herramientas de análisis. Durante los años 80 y 90, se consagró un considerable volumen de trabajo al desarrollo de modelos y marcos analíticos para el estudio de la innovación. Su aplicación en las primeras encuestas experimentales, y los resultados en ellas obtenidos y la necesidad de un conjunto coherente de conceptos y herramientas condujo en 1992 a la publicación de la primera edición del Manual de Oslo, que trata esencialmente de la innovación tecnológica de producto y de proceso (TPP) en el sector manufacturero. Esta obra se convirtió en un referente para las encuestas a gran escala orientadas a examinar la naturaleza y las incidencias de la innovación en el sector empresarial, por ejemplo, la Encuesta Comunitaria sobre innovación (ECI) que se efectúa actualmente por cuarta vez. Los resultados de estas encuestas han conducido a precisar aún más el marco del Manual de Oslo en cuanto a los conceptos, las definiciones y la metodología, de ahí la publicación, en 1997, de una segunda edición de esta obra que, entre otras cosas, ampliaba su ámbito de aplicación al sector servicios. Desde entonces, el análisis de los resultados de las encuestas y la evolución de las necesidades en cuanto a la actuación política, planteó la conveniencia de emprender otra revisión del Manual. En esta tercera edición se encontrará el fruto de ese trabajo. Cada vez más, se había tomado conciencia de que el concepto de innovación TPP no reflejaba de una forma adecuada gran parte de la innovación en el sector servicios. Se decidió, pues, tratar en esta revisión la cuestión de la innovación no tecnológica. Para ello, se ha ampliado el campo de lo que se considera como innovación y se han incluido dos nuevos tipos: la innovación en mercadotecnia y la innovación organizativa. No hay duda de que estos dos conceptos tienen un carácter experimental aunque ya han sido ensayados en varios países de la OCDE, y los resultados obtenidos han sido prometedores. Otra novedad de la presente edici…","author":[{"dropping-particle":"","family":"OECD/Eurostat","given":"","non-dropping-particle":"","parse-names":false,"suffix":""}],"container-title":"Ocde","id":"ITEM-1","issue":"3","issued":{"date-parts":[["2005"]]},"number-of-pages":"15 - 131","title":"Manual de Oslo: Guía para la Recogida e Interpretación de Datos sobre Innovación","type":"book"},"uris":["http://www.mendeley.com/documents/?uuid=74a87536-15e6-48ff-adfb-b485d7b54385"]}],"mendeley":{"formattedCitation":"(OECD/Eurostat, 2005)","plainTextFormattedCitation":"(OECD/Eurostat, 2005)","previouslyFormattedCitation":"(OECD/Eurostat, 2005)"},"properties":{"noteIndex":0},"schema":"https://github.com/citation-style-language/schema/raw/master/csl-citation.json"}</w:instrText>
      </w:r>
      <w:r w:rsidRPr="00CB6698">
        <w:rPr>
          <w:lang w:val="es-MX"/>
        </w:rPr>
        <w:fldChar w:fldCharType="separate"/>
      </w:r>
      <w:r w:rsidRPr="00CB6698">
        <w:rPr>
          <w:lang w:val="es-MX"/>
        </w:rPr>
        <w:t>(OECD/Eurostat, 2005)</w:t>
      </w:r>
      <w:r w:rsidRPr="00CB6698">
        <w:fldChar w:fldCharType="end"/>
      </w:r>
      <w:r w:rsidRPr="00CB6698">
        <w:rPr>
          <w:lang w:val="es-MX"/>
        </w:rPr>
        <w:t xml:space="preserve">, la innovación puede presentarse en diversas formas y productos tangibles, pero también en el desarrollo de campañas de atención a sus usuarios, como lo son a través de la mercadotecnia. </w:t>
      </w:r>
    </w:p>
    <w:p w14:paraId="56E4ABFA" w14:textId="78A75DA1" w:rsidR="00CB6698" w:rsidRDefault="00CB6698" w:rsidP="00461645">
      <w:pPr>
        <w:spacing w:line="360" w:lineRule="auto"/>
        <w:ind w:firstLine="567"/>
        <w:jc w:val="both"/>
        <w:rPr>
          <w:lang w:val="es-MX"/>
        </w:rPr>
      </w:pPr>
      <w:r w:rsidRPr="00CB6698">
        <w:rPr>
          <w:lang w:val="es-MX"/>
        </w:rPr>
        <w:t xml:space="preserve">Es por ello, que no existe una sola definición de innovación, sino que es un concepto dinámico que evoluciona con el paso del tiempo y también en la forma en que las organizaciones entienden el uso del conocimiento sobre diversas formas de producir, comercializar o atender nuevas unidades de negocio. </w:t>
      </w:r>
    </w:p>
    <w:p w14:paraId="47BFCFC4" w14:textId="77777777" w:rsidR="00461645" w:rsidRPr="00CB6698" w:rsidRDefault="00461645" w:rsidP="00461645">
      <w:pPr>
        <w:spacing w:line="360" w:lineRule="auto"/>
        <w:ind w:firstLine="567"/>
        <w:jc w:val="both"/>
        <w:rPr>
          <w:lang w:val="es-MX"/>
        </w:rPr>
      </w:pPr>
    </w:p>
    <w:p w14:paraId="1DA66C4A" w14:textId="77777777" w:rsidR="00CB6698" w:rsidRPr="00CB6698" w:rsidRDefault="00CB6698" w:rsidP="00461645">
      <w:pPr>
        <w:spacing w:line="360" w:lineRule="auto"/>
        <w:ind w:firstLine="567"/>
        <w:jc w:val="both"/>
        <w:rPr>
          <w:lang w:val="es-MX"/>
        </w:rPr>
      </w:pPr>
      <w:r w:rsidRPr="00CB6698">
        <w:rPr>
          <w:lang w:val="es-MX"/>
        </w:rPr>
        <w:t xml:space="preserve">Como se ha analizado en los párrafos anteriores, la innovación puede contar con diversas formas, sin embargo, es posible clasificarla de acuerdo a sus atributos </w:t>
      </w:r>
      <w:r w:rsidRPr="00CB6698">
        <w:rPr>
          <w:lang w:val="es-MX"/>
        </w:rPr>
        <w:fldChar w:fldCharType="begin" w:fldLock="1"/>
      </w:r>
      <w:r w:rsidRPr="00CB6698">
        <w:rPr>
          <w:lang w:val="es-MX"/>
        </w:rPr>
        <w:instrText>ADDIN CSL_CITATION {"citationItems":[{"id":"ITEM-1","itemData":{"DOI":"10.1515/hjbpa-2017-0005","ISSN":"2067-9785","abstract":"The paper presents the different definitions of innovation; the objective of the research being that of creating a theoretical model building on the previous work of several authors. The aim of the research is to define the different models, classifications and definitions of innovation. In this article we made use of a wide range of bibliographical sources on innovation, efficiency and also used comparative analysis of innovation definitions. Theoretical concepts were studied as well. The approach was constructed based on theoretical models of innovation definitions and used the technology and market perspectives. The main methods employed were comparative analysis of definitions of innovation and the creation of a model of innovation. It has been emphasized in the literature that the role of innovation is very important for making decisions regarding investment projects or investments for production. Innovation can bring benefits such as saving time, costs, and products and use them more effectively. Nowadays in the world, innovation is one of the most important factors of economic development, production, creation of a variety of products and in making management decisions. Innovation activity stimulates and has a positive effect also in investment activity.Innovation is the core action for the development and productivity of any economic activity. Investment activity and its results are directly dependent on the type of innovation that has been used. An important range of literature sources refer to innovation efficiency measurement criteria, which are in most cases related to product, technology (process) and market. The use of a number of different measurement indicators is leading to the need for further examination of the innovation-business performance relationship. Our findings have let us distinguish five major groups of criteria where various factors could be allocated. To the three groups (product, market and process) we allocate two additional groups: finance and management. Innovation plays an important role in the efficiency of investments in an organization, forms of business activity and state policy in the field of business and design.","author":[{"dropping-particle":"","family":"Kogabayev","given":"Timur","non-dropping-particle":"","parse-names":false,"suffix":""},{"dropping-particle":"","family":"Maziliauskas","given":"Antanas","non-dropping-particle":"","parse-names":false,"suffix":""}],"container-title":"HOLISTICA – Journal of Business and Public Administration","id":"ITEM-1","issue":"1","issued":{"date-parts":[["2017"]]},"page":"59-72","title":"The definition and classification of innovation","type":"article-journal","volume":"8"},"uris":["http://www.mendeley.com/documents/?uuid=6ec3e7b2-3226-49ce-a84f-70c20d0c2207"]},{"id":"ITEM-2","itemData":{"DOI":"10.1093/scipol/scv077","ISSN":"03023427","abstract":"With the field of innovation studies (IS) now half a century old, the occasion has been marked by several studies looking back to identify the main advances made over its lifetime. Starting from a list of 20 advances over the field's history, this discussion paper sets out 20 challenges for coming decades. The intention is to prompt a debate within the IS community on what are, or should be, the key challenges, and more generally on what sort of field we aspire to be. It is argued that the empirical focus of our studies has failed to keep pace with the fast changing world, especially the shift from manufacturing to services and the increasingly urgent need for sustainability. The way we conceptualise, define, operationalise and analyse 'innovation' seems somewhat rooted in the past, leaving us less able to grapple with other less visible or 'dark' forms of innovation.","author":[{"dropping-particle":"","family":"Martin","given":"Ben R.","non-dropping-particle":"","parse-names":false,"suffix":""}],"container-title":"Science and Public Policy","id":"ITEM-2","issue":"3","issued":{"date-parts":[["2016"]]},"page":"432-450","title":"Twenty challenges for innovation studies","type":"article-journal","volume":"43"},"uris":["http://www.mendeley.com/documents/?uuid=ce1b97a0-69e3-4ec9-b8de-4ae67f9adbff"]},{"id":"ITEM-3","itemData":{"DOI":"10.1016/j.ijis.2018.08.004","ISSN":"25892975","abstract":"What is our current understanding of innovation and how many types of innovation do we know? Broadly, innovation landscapes are characterized by well-established categories, such as product, process, organizational, and marketing innovation, explained and theorized in terms of their links with technological innovation. However global challenges and changes in the structure of knowledge production, have led to diverse innovations, and recognizing and classifying such innovations is more complex, fragmented, and geographically dispersed than ever before. The progressive incorporation of hidden and non-technological innovations, together with the emergence of the fourth industrial revolution, is contributing to change our understanding of innovation and its measurement. This paper provides an overview of the most salient types of innovation in recent decades, enabling both researchers and practitioners to navigate the complex web of innovation definitions and typologies. Innovation studies face the challenge of finding a comprehensive and inclusive definition that captures the significance of innovation, and overcoming the terminological ‘Babel'ization and increased fragmentation of the field of innovation research.","author":[{"dropping-particle":"","family":"Edwards-Schachter","given":"Mónica","non-dropping-particle":"","parse-names":false,"suffix":""}],"container-title":"International Journal of Innovation Studies","id":"ITEM-3","issue":"2","issued":{"date-parts":[["2018"]]},"page":"65-79","title":"The nature and variety of innovation","type":"article-journal","volume":"2"},"uris":["http://www.mendeley.com/documents/?uuid=637c554e-9652-4870-b071-c00d8874db10"]}],"mendeley":{"formattedCitation":"(Martin, 2016; Kogabayev and Maziliauskas, 2017; Edwards-Schachter, 2018)","plainTextFormattedCitation":"(Martin, 2016; Kogabayev and Maziliauskas, 2017; Edwards-Schachter, 2018)","previouslyFormattedCitation":"(Martin, 2016; Kogabayev and Maziliauskas, 2017; Edwards-Schachter, 2018)"},"properties":{"noteIndex":0},"schema":"https://github.com/citation-style-language/schema/raw/master/csl-citation.json"}</w:instrText>
      </w:r>
      <w:r w:rsidRPr="00CB6698">
        <w:rPr>
          <w:lang w:val="es-MX"/>
        </w:rPr>
        <w:fldChar w:fldCharType="separate"/>
      </w:r>
      <w:r w:rsidRPr="00CB6698">
        <w:rPr>
          <w:lang w:val="es-MX"/>
        </w:rPr>
        <w:t>(Martin, 2016; Kogabayev and Maziliauskas, 2017; Edwards-Schachter, 2018)</w:t>
      </w:r>
      <w:r w:rsidRPr="00CB6698">
        <w:fldChar w:fldCharType="end"/>
      </w:r>
      <w:r w:rsidRPr="00CB6698">
        <w:rPr>
          <w:lang w:val="es-MX"/>
        </w:rPr>
        <w:t>:</w:t>
      </w:r>
    </w:p>
    <w:p w14:paraId="14951DE4" w14:textId="77777777" w:rsidR="00CB6698" w:rsidRPr="00CB6698" w:rsidRDefault="00CB6698" w:rsidP="00CB6698">
      <w:pPr>
        <w:numPr>
          <w:ilvl w:val="0"/>
          <w:numId w:val="2"/>
        </w:numPr>
        <w:spacing w:line="360" w:lineRule="auto"/>
        <w:jc w:val="both"/>
        <w:rPr>
          <w:lang w:val="es-MX"/>
        </w:rPr>
      </w:pPr>
      <w:r w:rsidRPr="00CB6698">
        <w:rPr>
          <w:lang w:val="es-MX"/>
        </w:rPr>
        <w:t>En función a su naturaleza: Producto, proceso y negocio.</w:t>
      </w:r>
    </w:p>
    <w:p w14:paraId="37A8607C" w14:textId="77777777" w:rsidR="00CB6698" w:rsidRPr="00CB6698" w:rsidRDefault="00CB6698" w:rsidP="00CB6698">
      <w:pPr>
        <w:numPr>
          <w:ilvl w:val="0"/>
          <w:numId w:val="2"/>
        </w:numPr>
        <w:spacing w:line="360" w:lineRule="auto"/>
        <w:jc w:val="both"/>
        <w:rPr>
          <w:lang w:val="es-MX"/>
        </w:rPr>
      </w:pPr>
      <w:r w:rsidRPr="00CB6698">
        <w:rPr>
          <w:lang w:val="es-MX"/>
        </w:rPr>
        <w:t>En función a la forma: Tecnológica y organizacional.</w:t>
      </w:r>
    </w:p>
    <w:p w14:paraId="518A58C7" w14:textId="77777777" w:rsidR="00CB6698" w:rsidRPr="00CB6698" w:rsidRDefault="00CB6698" w:rsidP="00CB6698">
      <w:pPr>
        <w:numPr>
          <w:ilvl w:val="0"/>
          <w:numId w:val="2"/>
        </w:numPr>
        <w:spacing w:line="360" w:lineRule="auto"/>
        <w:jc w:val="both"/>
        <w:rPr>
          <w:lang w:val="es-MX"/>
        </w:rPr>
      </w:pPr>
      <w:r w:rsidRPr="00CB6698">
        <w:rPr>
          <w:lang w:val="es-MX"/>
        </w:rPr>
        <w:t>En función al impacto geográfico: Empresa, mercado local o internacional.</w:t>
      </w:r>
    </w:p>
    <w:p w14:paraId="437C9B11" w14:textId="77777777" w:rsidR="00CB6698" w:rsidRPr="00CB6698" w:rsidRDefault="00CB6698" w:rsidP="00CB6698">
      <w:pPr>
        <w:numPr>
          <w:ilvl w:val="0"/>
          <w:numId w:val="2"/>
        </w:numPr>
        <w:spacing w:line="360" w:lineRule="auto"/>
        <w:jc w:val="both"/>
        <w:rPr>
          <w:lang w:val="es-MX"/>
        </w:rPr>
      </w:pPr>
      <w:r w:rsidRPr="00CB6698">
        <w:rPr>
          <w:lang w:val="es-MX"/>
        </w:rPr>
        <w:t>En función al impacto en el mercado: Incremental, semi-incremental, radical.</w:t>
      </w:r>
    </w:p>
    <w:p w14:paraId="1E55ADAD" w14:textId="77777777" w:rsidR="00CB6698" w:rsidRPr="00CB6698" w:rsidRDefault="00CB6698" w:rsidP="00CB6698">
      <w:pPr>
        <w:numPr>
          <w:ilvl w:val="0"/>
          <w:numId w:val="2"/>
        </w:numPr>
        <w:spacing w:line="360" w:lineRule="auto"/>
        <w:jc w:val="both"/>
        <w:rPr>
          <w:lang w:val="es-MX"/>
        </w:rPr>
      </w:pPr>
      <w:r w:rsidRPr="00CB6698">
        <w:rPr>
          <w:lang w:val="es-MX"/>
        </w:rPr>
        <w:t>En función al objetivo: Ocasional e intencional.</w:t>
      </w:r>
    </w:p>
    <w:p w14:paraId="57F478CC" w14:textId="77777777" w:rsidR="00CB6698" w:rsidRPr="00CB6698" w:rsidRDefault="00CB6698" w:rsidP="00CB6698">
      <w:pPr>
        <w:numPr>
          <w:ilvl w:val="0"/>
          <w:numId w:val="2"/>
        </w:numPr>
        <w:spacing w:line="360" w:lineRule="auto"/>
        <w:jc w:val="both"/>
        <w:rPr>
          <w:lang w:val="es-MX"/>
        </w:rPr>
      </w:pPr>
      <w:r w:rsidRPr="00CB6698">
        <w:rPr>
          <w:lang w:val="es-MX"/>
        </w:rPr>
        <w:t>En función a la cultura interna de la empresa: Focalizada (áreas o departamentos) y sistémica (organización).</w:t>
      </w:r>
    </w:p>
    <w:p w14:paraId="58CB17BA" w14:textId="77777777" w:rsidR="00CB6698" w:rsidRPr="00CB6698" w:rsidRDefault="00CB6698" w:rsidP="00CB6698">
      <w:pPr>
        <w:numPr>
          <w:ilvl w:val="0"/>
          <w:numId w:val="2"/>
        </w:numPr>
        <w:spacing w:line="360" w:lineRule="auto"/>
        <w:jc w:val="both"/>
        <w:rPr>
          <w:lang w:val="es-MX"/>
        </w:rPr>
      </w:pPr>
      <w:r w:rsidRPr="00CB6698">
        <w:rPr>
          <w:lang w:val="es-MX"/>
        </w:rPr>
        <w:t>En función al uso de sistemas, herramientas o métodos: Empíricos, experimentales, metodológicos o sistemáticos.</w:t>
      </w:r>
    </w:p>
    <w:p w14:paraId="025A30D0" w14:textId="77777777" w:rsidR="00CB6698" w:rsidRPr="00CB6698" w:rsidRDefault="00CB6698" w:rsidP="00CB6698">
      <w:pPr>
        <w:spacing w:line="360" w:lineRule="auto"/>
        <w:jc w:val="both"/>
        <w:rPr>
          <w:lang w:val="es-MX"/>
        </w:rPr>
      </w:pPr>
      <w:r w:rsidRPr="00CB6698">
        <w:rPr>
          <w:lang w:val="es-MX"/>
        </w:rPr>
        <w:lastRenderedPageBreak/>
        <w:br/>
        <w:t>Lo anterior, nos invita a una reflexión alrededor del concepto: ¿Cómo se innova? ¿Qué determina un contexto de innovación?</w:t>
      </w:r>
    </w:p>
    <w:p w14:paraId="590F40CD" w14:textId="1F9189BC" w:rsidR="00CB6698" w:rsidRDefault="00CB6698" w:rsidP="00461645">
      <w:pPr>
        <w:spacing w:line="360" w:lineRule="auto"/>
        <w:ind w:firstLine="567"/>
        <w:jc w:val="both"/>
        <w:rPr>
          <w:lang w:val="es-MX"/>
        </w:rPr>
      </w:pPr>
      <w:r w:rsidRPr="00CB6698">
        <w:rPr>
          <w:lang w:val="es-MX"/>
        </w:rPr>
        <w:t xml:space="preserve">A nivel global, durante la pandemia del COVID-19 </w:t>
      </w:r>
      <w:r w:rsidRPr="00CB6698">
        <w:rPr>
          <w:lang w:val="es-MX"/>
        </w:rPr>
        <w:fldChar w:fldCharType="begin" w:fldLock="1"/>
      </w:r>
      <w:r w:rsidRPr="00CB6698">
        <w:rPr>
          <w:lang w:val="es-MX"/>
        </w:rPr>
        <w:instrText>ADDIN CSL_CITATION {"citationItems":[{"id":"ITEM-1","itemData":{"DOI":"10.1016/j.jbusres.2020.06.008","ISSN":"01482963","abstract":"The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author":[{"dropping-particle":"","family":"Donthu","given":"Naveen","non-dropping-particle":"","parse-names":false,"suffix":""},{"dropping-particle":"","family":"Gustafsson","given":"Anders","non-dropping-particle":"","parse-names":false,"suffix":""}],"container-title":"Journal of Business Research","id":"ITEM-1","issue":"June","issued":{"date-parts":[["2020"]]},"page":"284-289","title":"Effects of COVID-19 on business and research","type":"article-journal","volume":"117"},"uris":["http://www.mendeley.com/documents/?uuid=847ff2db-ec38-41b1-9946-a30941045794"]}],"mendeley":{"formattedCitation":"(Donthu and Gustafsson, 2020)","plainTextFormattedCitation":"(Donthu and Gustafsson, 2020)","previouslyFormattedCitation":"(Donthu and Gustafsson, 2020)"},"properties":{"noteIndex":0},"schema":"https://github.com/citation-style-language/schema/raw/master/csl-citation.json"}</w:instrText>
      </w:r>
      <w:r w:rsidRPr="00CB6698">
        <w:rPr>
          <w:lang w:val="es-MX"/>
        </w:rPr>
        <w:fldChar w:fldCharType="separate"/>
      </w:r>
      <w:r w:rsidRPr="00CB6698">
        <w:rPr>
          <w:lang w:val="es-MX"/>
        </w:rPr>
        <w:t>(Donthu and Gustafsson, 2020)</w:t>
      </w:r>
      <w:r w:rsidRPr="00CB6698">
        <w:fldChar w:fldCharType="end"/>
      </w:r>
      <w:r w:rsidRPr="00CB6698">
        <w:rPr>
          <w:lang w:val="es-MX"/>
        </w:rPr>
        <w:t>, el debate alrededor de la generación de ecosistemas de crecimiento económico se encuentra fuertemente relacionado con la búsqueda sistemática de la innovación. Las economías que aspiran a asumirse como líderes en este nuevo paradigma deben optar por una alta inversión en formación de capital humano con altas capacidades de innovación y emprendimiento. Las crisis sacuden al mundo, pero quienes destacan, son los que atienden el escenario como una oportunidad para crear nuevos nichos y mercados.</w:t>
      </w:r>
    </w:p>
    <w:p w14:paraId="2D5DB39C" w14:textId="77777777" w:rsidR="00461645" w:rsidRPr="00CB6698" w:rsidRDefault="00461645" w:rsidP="00461645">
      <w:pPr>
        <w:spacing w:line="360" w:lineRule="auto"/>
        <w:ind w:firstLine="567"/>
        <w:jc w:val="both"/>
        <w:rPr>
          <w:lang w:val="es-MX"/>
        </w:rPr>
      </w:pPr>
    </w:p>
    <w:p w14:paraId="3935DCE1" w14:textId="77777777" w:rsidR="00CB6698" w:rsidRPr="00CB6698" w:rsidRDefault="00CB6698" w:rsidP="00461645">
      <w:pPr>
        <w:spacing w:line="360" w:lineRule="auto"/>
        <w:ind w:firstLine="567"/>
        <w:jc w:val="both"/>
        <w:rPr>
          <w:lang w:val="es-MX"/>
        </w:rPr>
      </w:pPr>
      <w:r w:rsidRPr="00CB6698">
        <w:rPr>
          <w:lang w:val="es-MX"/>
        </w:rPr>
        <w:t xml:space="preserve">Esto no solo aplica a los países, sino a las organizaciones, quienes deben identificarse con una innovación que genera valor, aumenta su rendimiento y atrae personal con altas capacidades para explorar su talento </w:t>
      </w:r>
      <w:r w:rsidRPr="00CB6698">
        <w:rPr>
          <w:lang w:val="es-MX"/>
        </w:rPr>
        <w:fldChar w:fldCharType="begin" w:fldLock="1"/>
      </w:r>
      <w:r w:rsidRPr="00CB6698">
        <w:rPr>
          <w:lang w:val="es-MX"/>
        </w:rPr>
        <w:instrText>ADDIN CSL_CITATION {"citationItems":[{"id":"ITEM-1","itemData":{"ISBN":"9780992425951","abstract":"Recent debates about the future of jobs have mainly focused on\r\nwhether or not they are at risk of automation (Arntz et. al., 2016;\r\nFrey and Osborne, 2017; McKinsey, 2017; PwC, 2017). Studies\r\nhave generally minimised the potential effects of automation on\r\njob creation, and have tended to ignore other relevant trends,\r\nincluding globalisation, population ageing, urbanisation, and the\r\nrise of the green economy.","author":[{"dropping-particle":"","family":"Bakhshi","given":"Hasan","non-dropping-particle":"","parse-names":false,"suffix":""},{"dropping-particle":"","family":"Downing","given":"Jonathan M","non-dropping-particle":"","parse-names":false,"suffix":""},{"dropping-particle":"","family":"Osborne","given":"Michael A","non-dropping-particle":"","parse-names":false,"suffix":""},{"dropping-particle":"","family":"Schneider","given":"Philippe","non-dropping-particle":"","parse-names":false,"suffix":""}],"id":"ITEM-1","issued":{"date-parts":[["2017"]]},"title":"The Future of skills: Employment in 2030.  London: Pearson and Nesta","type":"book"},"uris":["http://www.mendeley.com/documents/?uuid=1c299975-e71c-4817-8386-994678de38f7"]}],"mendeley":{"formattedCitation":"(Bakhshi &lt;i&gt;et al.&lt;/i&gt;, 2017)","plainTextFormattedCitation":"(Bakhshi et al., 2017)","previouslyFormattedCitation":"(Bakhshi &lt;i&gt;et al.&lt;/i&gt;, 2017)"},"properties":{"noteIndex":0},"schema":"https://github.com/citation-style-language/schema/raw/master/csl-citation.json"}</w:instrText>
      </w:r>
      <w:r w:rsidRPr="00CB6698">
        <w:rPr>
          <w:lang w:val="es-MX"/>
        </w:rPr>
        <w:fldChar w:fldCharType="separate"/>
      </w:r>
      <w:r w:rsidRPr="00CB6698">
        <w:rPr>
          <w:lang w:val="es-MX"/>
        </w:rPr>
        <w:t xml:space="preserve">(Bakhshi </w:t>
      </w:r>
      <w:r w:rsidRPr="00CB6698">
        <w:rPr>
          <w:i/>
          <w:lang w:val="es-MX"/>
        </w:rPr>
        <w:t>et al.</w:t>
      </w:r>
      <w:r w:rsidRPr="00CB6698">
        <w:rPr>
          <w:lang w:val="es-MX"/>
        </w:rPr>
        <w:t>, 2017)</w:t>
      </w:r>
      <w:r w:rsidRPr="00CB6698">
        <w:fldChar w:fldCharType="end"/>
      </w:r>
      <w:r w:rsidRPr="00CB6698">
        <w:rPr>
          <w:lang w:val="es-MX"/>
        </w:rPr>
        <w:t>.</w:t>
      </w:r>
    </w:p>
    <w:p w14:paraId="62677D80" w14:textId="77777777" w:rsidR="00CB6698" w:rsidRPr="00CB6698" w:rsidRDefault="00CB6698" w:rsidP="00CB6698">
      <w:pPr>
        <w:spacing w:line="360" w:lineRule="auto"/>
        <w:jc w:val="both"/>
        <w:rPr>
          <w:lang w:val="es-MX"/>
        </w:rPr>
      </w:pPr>
      <w:r w:rsidRPr="00CB6698">
        <w:rPr>
          <w:lang w:val="es-MX"/>
        </w:rPr>
        <w:t>Si una empresa, especialmente pequeña o mediana apuesta por fortalecer una cultura de innovación pudiera:</w:t>
      </w:r>
    </w:p>
    <w:p w14:paraId="37468891" w14:textId="77777777" w:rsidR="00CB6698" w:rsidRPr="00CB6698" w:rsidRDefault="00CB6698" w:rsidP="00CB6698">
      <w:pPr>
        <w:numPr>
          <w:ilvl w:val="0"/>
          <w:numId w:val="3"/>
        </w:numPr>
        <w:spacing w:line="360" w:lineRule="auto"/>
        <w:jc w:val="both"/>
        <w:rPr>
          <w:lang w:val="es-MX"/>
        </w:rPr>
      </w:pPr>
      <w:r w:rsidRPr="00CB6698">
        <w:rPr>
          <w:lang w:val="es-MX"/>
        </w:rPr>
        <w:t>Mejorar la producción de sus productos y servicios, con la atención y seguimiento de nuevos mercados.</w:t>
      </w:r>
    </w:p>
    <w:p w14:paraId="27F20030" w14:textId="77777777" w:rsidR="00CB6698" w:rsidRPr="00CB6698" w:rsidRDefault="00CB6698" w:rsidP="00CB6698">
      <w:pPr>
        <w:numPr>
          <w:ilvl w:val="0"/>
          <w:numId w:val="3"/>
        </w:numPr>
        <w:spacing w:line="360" w:lineRule="auto"/>
        <w:jc w:val="both"/>
        <w:rPr>
          <w:lang w:val="es-MX"/>
        </w:rPr>
      </w:pPr>
      <w:r w:rsidRPr="00CB6698">
        <w:rPr>
          <w:lang w:val="es-MX"/>
        </w:rPr>
        <w:t>Mejorar las barreras de entrada de otros competidores en su giro, al contar con alto grado de diferenciación de sus productos-servicios de otros en el entorno.</w:t>
      </w:r>
    </w:p>
    <w:p w14:paraId="09FDFF4B" w14:textId="77777777" w:rsidR="00CB6698" w:rsidRPr="00CB6698" w:rsidRDefault="00CB6698" w:rsidP="00CB6698">
      <w:pPr>
        <w:numPr>
          <w:ilvl w:val="0"/>
          <w:numId w:val="3"/>
        </w:numPr>
        <w:spacing w:line="360" w:lineRule="auto"/>
        <w:jc w:val="both"/>
        <w:rPr>
          <w:lang w:val="es-MX"/>
        </w:rPr>
      </w:pPr>
      <w:r w:rsidRPr="00CB6698">
        <w:rPr>
          <w:lang w:val="es-MX"/>
        </w:rPr>
        <w:t>Reducción progresiva de costos, la innovación es una inversión, en el inicio puede resultar costosa, pero progresivamente pudiera significar una mejora en los procesos e inversiones.</w:t>
      </w:r>
    </w:p>
    <w:p w14:paraId="70378928" w14:textId="77777777" w:rsidR="00CB6698" w:rsidRPr="00CB6698" w:rsidRDefault="00CB6698" w:rsidP="00CB6698">
      <w:pPr>
        <w:numPr>
          <w:ilvl w:val="0"/>
          <w:numId w:val="3"/>
        </w:numPr>
        <w:spacing w:line="360" w:lineRule="auto"/>
        <w:jc w:val="both"/>
        <w:rPr>
          <w:lang w:val="es-MX"/>
        </w:rPr>
      </w:pPr>
      <w:r w:rsidRPr="00CB6698">
        <w:rPr>
          <w:lang w:val="es-MX"/>
        </w:rPr>
        <w:t>Ampliación de utilidades, el entorno cambia radicalmente en poco tiempo. Poseer una cartera amplia de productos-servicios en el portafolio de proyectos de innovación permite a la empresa anticiparse.</w:t>
      </w:r>
    </w:p>
    <w:p w14:paraId="1D95A41E" w14:textId="77777777" w:rsidR="00CB6698" w:rsidRPr="00CB6698" w:rsidRDefault="00CB6698" w:rsidP="00CB6698">
      <w:pPr>
        <w:spacing w:line="360" w:lineRule="auto"/>
        <w:jc w:val="both"/>
        <w:rPr>
          <w:lang w:val="es-MX"/>
        </w:rPr>
      </w:pPr>
      <w:r w:rsidRPr="00CB6698">
        <w:rPr>
          <w:lang w:val="es-MX"/>
        </w:rPr>
        <w:t>La innovación por lo tanto es un elemento clave en el éxito de las organizaciones. Está asociada directamente con la aceptación exitosa de productos o servicios en el mercado y que genera mejores rendimientos en las empresas que así lo visualizan y ejecutan en las diversas áreas.</w:t>
      </w:r>
    </w:p>
    <w:p w14:paraId="0F21597F" w14:textId="77777777" w:rsidR="00CB6698" w:rsidRPr="00CB6698" w:rsidRDefault="00CB6698" w:rsidP="00CB6698">
      <w:pPr>
        <w:spacing w:line="360" w:lineRule="auto"/>
        <w:jc w:val="both"/>
        <w:rPr>
          <w:lang w:val="es-MX"/>
        </w:rPr>
      </w:pPr>
    </w:p>
    <w:p w14:paraId="0D732299" w14:textId="0C352A08" w:rsidR="00CB6698" w:rsidRPr="00D911C9" w:rsidRDefault="00CB6698" w:rsidP="00CB6698">
      <w:pPr>
        <w:numPr>
          <w:ilvl w:val="0"/>
          <w:numId w:val="4"/>
        </w:numPr>
        <w:spacing w:line="360" w:lineRule="auto"/>
        <w:jc w:val="both"/>
        <w:rPr>
          <w:b/>
          <w:bCs/>
          <w:sz w:val="28"/>
          <w:szCs w:val="28"/>
          <w:lang w:val="es-MX"/>
        </w:rPr>
      </w:pPr>
      <w:r w:rsidRPr="00D911C9">
        <w:rPr>
          <w:b/>
          <w:bCs/>
          <w:sz w:val="28"/>
          <w:szCs w:val="28"/>
          <w:lang w:val="es-MX"/>
        </w:rPr>
        <w:t>La Cultura de la Innovación: Gestión y Retos</w:t>
      </w:r>
    </w:p>
    <w:p w14:paraId="6E9A2EE6" w14:textId="77777777" w:rsidR="00CB6698" w:rsidRPr="00CB6698" w:rsidRDefault="00CB6698" w:rsidP="00CB6698">
      <w:pPr>
        <w:spacing w:line="360" w:lineRule="auto"/>
        <w:ind w:left="720"/>
        <w:jc w:val="both"/>
        <w:rPr>
          <w:b/>
          <w:bCs/>
          <w:lang w:val="es-MX"/>
        </w:rPr>
      </w:pPr>
    </w:p>
    <w:p w14:paraId="150309AC" w14:textId="77777777" w:rsidR="00CB6698" w:rsidRPr="00CB6698" w:rsidRDefault="00CB6698" w:rsidP="00461645">
      <w:pPr>
        <w:spacing w:line="360" w:lineRule="auto"/>
        <w:ind w:firstLine="567"/>
        <w:jc w:val="both"/>
        <w:rPr>
          <w:lang w:val="es-MX"/>
        </w:rPr>
      </w:pPr>
      <w:r w:rsidRPr="00CB6698">
        <w:rPr>
          <w:lang w:val="es-MX"/>
        </w:rPr>
        <w:t xml:space="preserve">La cultura de empresa es el software de su tecnología, haciendo una analogía tecnológica. Pertenece a las dinámicas y rituales internos que permiten generar nuevas conexiones u obstaculizar el desarrollo de proyectos. </w:t>
      </w:r>
    </w:p>
    <w:p w14:paraId="3096C6E7" w14:textId="77777777" w:rsidR="00CB6698" w:rsidRPr="00CB6698" w:rsidRDefault="00CB6698" w:rsidP="00CB6698">
      <w:pPr>
        <w:spacing w:line="360" w:lineRule="auto"/>
        <w:jc w:val="both"/>
        <w:rPr>
          <w:lang w:val="es-MX"/>
        </w:rPr>
      </w:pPr>
    </w:p>
    <w:p w14:paraId="23596755" w14:textId="77777777" w:rsidR="00CB6698" w:rsidRPr="00CB6698" w:rsidRDefault="00CB6698" w:rsidP="00461645">
      <w:pPr>
        <w:spacing w:line="360" w:lineRule="auto"/>
        <w:ind w:firstLine="567"/>
        <w:jc w:val="both"/>
        <w:rPr>
          <w:lang w:val="es-MX"/>
        </w:rPr>
      </w:pPr>
      <w:r w:rsidRPr="00CB6698">
        <w:rPr>
          <w:lang w:val="es-MX"/>
        </w:rPr>
        <w:t xml:space="preserve">La gestión de esa cultura en temas de innovación, permite a la empresa evolucionar o desaparecer de acuerdo a los retos que cada contexto le provee. Y en la literatura, si bien existen estudios al respecto de la innovación y el desempeño organizacional </w:t>
      </w:r>
      <w:r w:rsidRPr="00CB6698">
        <w:rPr>
          <w:lang w:val="es-MX"/>
        </w:rPr>
        <w:fldChar w:fldCharType="begin" w:fldLock="1"/>
      </w:r>
      <w:r w:rsidRPr="00CB6698">
        <w:rPr>
          <w:lang w:val="es-MX"/>
        </w:rPr>
        <w:instrText>ADDIN CSL_CITATION {"citationItems":[{"id":"ITEM-1","itemData":{"author":[{"dropping-particle":"","family":"Álvarez-Torres","given":"Francisco Javier","non-dropping-particle":"","parse-names":false,"suffix":""},{"dropping-particle":"","family":"López-Torres","given":"Gabriela Citalli","non-dropping-particle":"","parse-names":false,"suffix":""},{"dropping-particle":"","family":"Álvarez-Rodríguez","given":"Eduardo","non-dropping-particle":"","parse-names":false,"suffix":""}],"container-title":"VinculaTégica","id":"ITEM-1","issue":"9","issued":{"date-parts":[["2018"]]},"page":"56-63","title":"El análisis de la Orientación Emprendedora por medio de ecuaciones estructurales en la PYME guanajuatense del sector cuero-calzado","type":"article-journal","volume":"4"},"uris":["http://www.mendeley.com/documents/?uuid=782cf93c-6316-4023-a23e-2417bc9a01be"]},{"id":"ITEM-2","itemData":{"DOI":"10.1177/2158244019855847","ISSN":"21582440","abstract":"This article conducts a systematic literature review (SLR) on the relationship between innovation and performance in private companies. The research corpus was based on research protocol systematization. Dissemination of knowledge was examined in two stages: the summary of general corpus characteristics, and the content analysis performed according to the categories that emerged via the study’s themes. Relationships among authors, co-citations, keywords, and centrality statistics were identified through algorithms for optimizing standard graph layout. This study discusses the results of this relationship for improving the competitiveness of enterprises. The relationships among the authors of the corpus constitute relationships between isolated groups with little connectivity, low density, and a formation of distinct communities. The categories of analysis emerged in the study themes, as well as the techniques adopted to measure the relationships between innovation and private company performance. In the analyzed studies, innovation initiatives converge. Overall, they contribute to improvements in company performance. In the scientific field, initiatives for developing innovations have enhanced the performance of private companies. A key theoretical contribution of this article is in identifying the research corpus on the relationship between innovation and performance in private companies. The practical contribution of this study lies in offering evidence produced by studies that can help decision making regarding the creation of strategies and policies focused on competitiveness. The differences in the evidence found in the literature highlight the importance of the outcome of this study and indicate the need for future research in an effort to better understand the phenomenon.","author":[{"dropping-particle":"","family":"Bach","given":"Tatiana Marceda","non-dropping-particle":"","parse-names":false,"suffix":""},{"dropping-particle":"","family":"Dalazen","given":"Luciano Luiz","non-dropping-particle":"","parse-names":false,"suffix":""},{"dropping-particle":"","family":"Silva","given":"Wesley Vieira","non-dropping-particle":"da","parse-names":false,"suffix":""},{"dropping-particle":"","family":"Ferraresi","given":"Alex Antonio","non-dropping-particle":"","parse-names":false,"suffix":""},{"dropping-particle":"","family":"Veiga","given":"Claudimar Pereira","non-dropping-particle":"da","parse-names":false,"suffix":""}],"container-title":"SAGE Open","id":"ITEM-2","issue":"2","issued":{"date-parts":[["2019"]]},"title":"Relationship Between Innovation and Performance in Private Companies: Systematic Literature Review","type":"article-journal","volume":"9"},"uris":["http://www.mendeley.com/documents/?uuid=1cf52110-1581-49a8-9e8b-7a6933b3b5c9"]}],"mendeley":{"formattedCitation":"(Álvarez-Torres, López-Torres and Álvarez-Rodríguez, 2018; Bach &lt;i&gt;et al.&lt;/i&gt;, 2019)","plainTextFormattedCitation":"(Álvarez-Torres, López-Torres and Álvarez-Rodríguez, 2018; Bach et al., 2019)","previouslyFormattedCitation":"(Álvarez-Torres, López-Torres and Álvarez-Rodríguez, 2018; Bach &lt;i&gt;et al.&lt;/i&gt;, 2019)"},"properties":{"noteIndex":0},"schema":"https://github.com/citation-style-language/schema/raw/master/csl-citation.json"}</w:instrText>
      </w:r>
      <w:r w:rsidRPr="00CB6698">
        <w:rPr>
          <w:lang w:val="es-MX"/>
        </w:rPr>
        <w:fldChar w:fldCharType="separate"/>
      </w:r>
      <w:r w:rsidRPr="00CB6698">
        <w:rPr>
          <w:lang w:val="es-MX"/>
        </w:rPr>
        <w:t xml:space="preserve">(Álvarez-Torres, López-Torres and Álvarez-Rodríguez, 2018; Bach </w:t>
      </w:r>
      <w:r w:rsidRPr="00CB6698">
        <w:rPr>
          <w:i/>
          <w:lang w:val="es-MX"/>
        </w:rPr>
        <w:t>et al.</w:t>
      </w:r>
      <w:r w:rsidRPr="00CB6698">
        <w:rPr>
          <w:lang w:val="es-MX"/>
        </w:rPr>
        <w:t>, 2019)</w:t>
      </w:r>
      <w:r w:rsidRPr="00CB6698">
        <w:fldChar w:fldCharType="end"/>
      </w:r>
      <w:r w:rsidRPr="00CB6698">
        <w:rPr>
          <w:lang w:val="es-MX"/>
        </w:rPr>
        <w:t>, no existe una fórmula única para que cierta cultura pueda lograr el éxito.</w:t>
      </w:r>
    </w:p>
    <w:p w14:paraId="37DDF26F" w14:textId="77777777" w:rsidR="00CB6698" w:rsidRPr="00CB6698" w:rsidRDefault="00CB6698" w:rsidP="00CB6698">
      <w:pPr>
        <w:spacing w:line="360" w:lineRule="auto"/>
        <w:jc w:val="both"/>
        <w:rPr>
          <w:lang w:val="es-MX"/>
        </w:rPr>
      </w:pPr>
    </w:p>
    <w:p w14:paraId="58AA5BE6" w14:textId="5F7A0EB6" w:rsidR="00CB6698" w:rsidRPr="00CB6698" w:rsidRDefault="00CB6698" w:rsidP="00461645">
      <w:pPr>
        <w:spacing w:line="360" w:lineRule="auto"/>
        <w:ind w:firstLine="567"/>
        <w:jc w:val="both"/>
        <w:rPr>
          <w:lang w:val="es-MX"/>
        </w:rPr>
      </w:pPr>
      <w:r w:rsidRPr="00CB6698">
        <w:rPr>
          <w:lang w:val="es-MX"/>
        </w:rPr>
        <w:t>Un proceso de gestión de la innovación que forme parte de una integralidad con la empresa y sus procesos debe considerar tanto las competencias del talento humano que integra la plantilla, el mercado y sus actores principales y la tecnología (Véase Figura 1).</w:t>
      </w:r>
    </w:p>
    <w:p w14:paraId="1A945CA6" w14:textId="68934D68" w:rsidR="00CB6698" w:rsidRPr="00CB6698" w:rsidRDefault="00CB6698" w:rsidP="00CB6698">
      <w:pPr>
        <w:spacing w:line="360" w:lineRule="auto"/>
        <w:jc w:val="both"/>
        <w:rPr>
          <w:lang w:val="es-MX"/>
        </w:rPr>
      </w:pPr>
      <w:r w:rsidRPr="00CB6698">
        <w:rPr>
          <w:noProof/>
          <w:lang w:val="es-MX"/>
        </w:rPr>
        <w:drawing>
          <wp:anchor distT="0" distB="0" distL="114300" distR="114300" simplePos="0" relativeHeight="251659264" behindDoc="0" locked="0" layoutInCell="1" allowOverlap="1" wp14:anchorId="74AD006A" wp14:editId="623836AA">
            <wp:simplePos x="0" y="0"/>
            <wp:positionH relativeFrom="column">
              <wp:posOffset>1303020</wp:posOffset>
            </wp:positionH>
            <wp:positionV relativeFrom="paragraph">
              <wp:posOffset>19050</wp:posOffset>
            </wp:positionV>
            <wp:extent cx="2702560" cy="1821180"/>
            <wp:effectExtent l="0" t="25400" r="0" b="71120"/>
            <wp:wrapThrough wrapText="bothSides">
              <wp:wrapPolygon edited="0">
                <wp:start x="10353" y="-301"/>
                <wp:lineTo x="9541" y="0"/>
                <wp:lineTo x="9541" y="2410"/>
                <wp:lineTo x="8628" y="4368"/>
                <wp:lineTo x="7816" y="6778"/>
                <wp:lineTo x="7004" y="7230"/>
                <wp:lineTo x="7004" y="9640"/>
                <wp:lineTo x="6293" y="11448"/>
                <wp:lineTo x="6293" y="12050"/>
                <wp:lineTo x="5481" y="12050"/>
                <wp:lineTo x="5481" y="14460"/>
                <wp:lineTo x="4466" y="16870"/>
                <wp:lineTo x="3248" y="20485"/>
                <wp:lineTo x="3147" y="22293"/>
                <wp:lineTo x="18372" y="22293"/>
                <wp:lineTo x="18271" y="20485"/>
                <wp:lineTo x="16038" y="14310"/>
                <wp:lineTo x="15429" y="12050"/>
                <wp:lineTo x="14414" y="9490"/>
                <wp:lineTo x="12992" y="4971"/>
                <wp:lineTo x="11977" y="2410"/>
                <wp:lineTo x="11673" y="0"/>
                <wp:lineTo x="11064" y="-301"/>
                <wp:lineTo x="10353" y="-301"/>
              </wp:wrapPolygon>
            </wp:wrapThrough>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48B31AD4" w14:textId="4E3F2D5A" w:rsidR="00CB6698" w:rsidRPr="00CB6698" w:rsidRDefault="00CB6698" w:rsidP="00CB6698">
      <w:pPr>
        <w:spacing w:line="360" w:lineRule="auto"/>
        <w:jc w:val="both"/>
        <w:rPr>
          <w:lang w:val="es-MX"/>
        </w:rPr>
      </w:pPr>
    </w:p>
    <w:p w14:paraId="1A191EA5" w14:textId="2D5722D1" w:rsidR="00CB6698" w:rsidRPr="00CB6698" w:rsidRDefault="00CB6698" w:rsidP="00CB6698">
      <w:pPr>
        <w:spacing w:line="360" w:lineRule="auto"/>
        <w:jc w:val="both"/>
        <w:rPr>
          <w:lang w:val="es-MX"/>
        </w:rPr>
      </w:pPr>
    </w:p>
    <w:p w14:paraId="50B95B6F" w14:textId="77777777" w:rsidR="00CB6698" w:rsidRPr="00CB6698" w:rsidRDefault="00CB6698" w:rsidP="00CB6698">
      <w:pPr>
        <w:spacing w:line="360" w:lineRule="auto"/>
        <w:jc w:val="both"/>
        <w:rPr>
          <w:lang w:val="es-MX"/>
        </w:rPr>
      </w:pPr>
    </w:p>
    <w:p w14:paraId="71F593B4" w14:textId="77777777" w:rsidR="00CB6698" w:rsidRPr="00CB6698" w:rsidRDefault="00CB6698" w:rsidP="00CB6698">
      <w:pPr>
        <w:spacing w:line="360" w:lineRule="auto"/>
        <w:jc w:val="both"/>
        <w:rPr>
          <w:lang w:val="es-MX"/>
        </w:rPr>
      </w:pPr>
    </w:p>
    <w:p w14:paraId="75304D2F" w14:textId="77777777" w:rsidR="00CB6698" w:rsidRPr="00CB6698" w:rsidRDefault="00CB6698" w:rsidP="00CB6698">
      <w:pPr>
        <w:spacing w:line="360" w:lineRule="auto"/>
        <w:jc w:val="both"/>
        <w:rPr>
          <w:lang w:val="es-MX"/>
        </w:rPr>
      </w:pPr>
    </w:p>
    <w:p w14:paraId="590DFA63" w14:textId="77777777" w:rsidR="00CB6698" w:rsidRPr="00CB6698" w:rsidRDefault="00CB6698" w:rsidP="00CB6698">
      <w:pPr>
        <w:spacing w:line="360" w:lineRule="auto"/>
        <w:jc w:val="both"/>
        <w:rPr>
          <w:lang w:val="es-MX"/>
        </w:rPr>
      </w:pPr>
    </w:p>
    <w:p w14:paraId="084B7A9D" w14:textId="77777777" w:rsidR="00CB6698" w:rsidRPr="00CB6698" w:rsidRDefault="00CB6698" w:rsidP="00CB6698">
      <w:pPr>
        <w:spacing w:line="360" w:lineRule="auto"/>
        <w:jc w:val="both"/>
        <w:rPr>
          <w:lang w:val="es-MX"/>
        </w:rPr>
      </w:pPr>
    </w:p>
    <w:p w14:paraId="52AB99EC" w14:textId="7F6DA395" w:rsidR="00CB6698" w:rsidRPr="00CB6698" w:rsidRDefault="00CB6698" w:rsidP="00CB6698">
      <w:pPr>
        <w:spacing w:line="360" w:lineRule="auto"/>
        <w:jc w:val="both"/>
        <w:rPr>
          <w:lang w:val="es-MX"/>
        </w:rPr>
      </w:pPr>
      <w:r w:rsidRPr="00CB6698">
        <w:rPr>
          <w:lang w:val="es-MX"/>
        </w:rPr>
        <w:t>Figura 1. Elementos de una gestión de cultura de innovación.  Fuente: Elaboración Propia</w:t>
      </w:r>
    </w:p>
    <w:p w14:paraId="7B55C6B9" w14:textId="77777777" w:rsidR="00CB6698" w:rsidRPr="00CB6698" w:rsidRDefault="00CB6698" w:rsidP="00CB6698">
      <w:pPr>
        <w:spacing w:line="360" w:lineRule="auto"/>
        <w:jc w:val="both"/>
        <w:rPr>
          <w:lang w:val="es-MX"/>
        </w:rPr>
      </w:pPr>
    </w:p>
    <w:p w14:paraId="1C3CD81D" w14:textId="7EC037FE" w:rsidR="00CB6698" w:rsidRDefault="00CB6698" w:rsidP="00461645">
      <w:pPr>
        <w:spacing w:line="360" w:lineRule="auto"/>
        <w:ind w:firstLine="567"/>
        <w:jc w:val="both"/>
        <w:rPr>
          <w:lang w:val="es-MX"/>
        </w:rPr>
      </w:pPr>
      <w:r w:rsidRPr="00CB6698">
        <w:rPr>
          <w:lang w:val="es-MX"/>
        </w:rPr>
        <w:t xml:space="preserve">La </w:t>
      </w:r>
      <w:r w:rsidRPr="00CB6698">
        <w:rPr>
          <w:i/>
          <w:iCs/>
          <w:lang w:val="es-MX"/>
        </w:rPr>
        <w:t>integralidad</w:t>
      </w:r>
      <w:r w:rsidRPr="00CB6698">
        <w:rPr>
          <w:lang w:val="es-MX"/>
        </w:rPr>
        <w:t xml:space="preserve"> de los tres elementos es el punto central de una cultura de innovación ya que hace referencia a que los parámetros de los tres anteriores esten alineados y configurados para obtener el mayor potencial de la organización de acuerdo con sus valores y recursos. </w:t>
      </w:r>
      <w:r w:rsidRPr="00CB6698">
        <w:rPr>
          <w:i/>
          <w:iCs/>
          <w:lang w:val="es-MX"/>
        </w:rPr>
        <w:t>No es solo innovar por innovar</w:t>
      </w:r>
      <w:r w:rsidRPr="00CB6698">
        <w:rPr>
          <w:lang w:val="es-MX"/>
        </w:rPr>
        <w:t>, sino la trascendencia económica y ética de las aportaciones al mercado.</w:t>
      </w:r>
    </w:p>
    <w:p w14:paraId="2F3100B0" w14:textId="77777777" w:rsidR="00461645" w:rsidRPr="00CB6698" w:rsidRDefault="00461645" w:rsidP="00461645">
      <w:pPr>
        <w:spacing w:line="360" w:lineRule="auto"/>
        <w:ind w:firstLine="567"/>
        <w:jc w:val="both"/>
        <w:rPr>
          <w:lang w:val="es-MX"/>
        </w:rPr>
      </w:pPr>
    </w:p>
    <w:p w14:paraId="653BA128" w14:textId="77777777" w:rsidR="00CB6698" w:rsidRPr="00CB6698" w:rsidRDefault="00CB6698" w:rsidP="00461645">
      <w:pPr>
        <w:spacing w:line="360" w:lineRule="auto"/>
        <w:ind w:firstLine="567"/>
        <w:jc w:val="both"/>
        <w:rPr>
          <w:lang w:val="es-MX"/>
        </w:rPr>
      </w:pPr>
      <w:r w:rsidRPr="00CB6698">
        <w:rPr>
          <w:lang w:val="es-MX"/>
        </w:rPr>
        <w:lastRenderedPageBreak/>
        <w:t xml:space="preserve">Si bien la cultura de la organización es un eje fundamental para impulsar u obstaculizar los proyectos y avances de innovación. Existen normas, creencias o valores tanto individuales como organizacionales que permite cobijar o limitar los esfuerzos en el tema tanto de innovación como de una gestión adecuada de la creatividad </w:t>
      </w:r>
      <w:r w:rsidRPr="00CB6698">
        <w:rPr>
          <w:lang w:val="es-MX"/>
        </w:rPr>
        <w:fldChar w:fldCharType="begin" w:fldLock="1"/>
      </w:r>
      <w:r w:rsidRPr="00CB6698">
        <w:rPr>
          <w:lang w:val="es-MX"/>
        </w:rPr>
        <w:instrText>ADDIN CSL_CITATION {"citationItems":[{"id":"ITEM-1","itemData":{"DOI":"10.1177/0149206319827088","ISBN":"0149206319827","ISSN":"15571211","abstract":"Understanding the receiving side of creativity has both scientific and practical value. Creativity can add value to organizations after it is perceived, evaluated, and eventually adopted. In this paper, we review four decades of empirical research on the receiving side of creativity scattered across several business and social science fields. A comprehensive framework surfaces out of our review, indicating four groups of factors affecting the evaluation and adoption of creativity, namely, characteristics of target, creator, perceiver, and context. Although the receiving side of creativity has received far less attention than the generative side in management literature, vibrant research efforts in other scientific fields have built a solid foundation to understand creativity receiving in the workplace. We call for more studies on this important topic and discuss how future research could contribute to its development by advancing conceptual clarity, methodological precision, and integration between theories, disciplines, and different sides of the creative process.","author":[{"dropping-particle":"","family":"Zhou","given":"Jing","non-dropping-particle":"","parse-names":false,"suffix":""},{"dropping-particle":"","family":"Wang","given":"Xiaoye May","non-dropping-particle":"","parse-names":false,"suffix":""},{"dropping-particle":"","family":"Bavato","given":"Davide","non-dropping-particle":"","parse-names":false,"suffix":""},{"dropping-particle":"","family":"Tasselli","given":"Stefano","non-dropping-particle":"","parse-names":false,"suffix":""},{"dropping-particle":"","family":"Wu","given":"Junfeng","non-dropping-particle":"","parse-names":false,"suffix":""}],"container-title":"Journal of Management","id":"ITEM-1","issue":"6","issued":{"date-parts":[["2019"]]},"page":"2570-2595","title":"Understanding the Receiving Side of Creativity: A Multidisciplinary Review and Implications for Management Research","type":"article-journal","volume":"45"},"uris":["http://www.mendeley.com/documents/?uuid=a2ea44c7-b20f-43f3-aeca-c7c455fdfd23"]}],"mendeley":{"formattedCitation":"(Zhou &lt;i&gt;et al.&lt;/i&gt;, 2019)","plainTextFormattedCitation":"(Zhou et al., 2019)","previouslyFormattedCitation":"(Zhou &lt;i&gt;et al.&lt;/i&gt;, 2019)"},"properties":{"noteIndex":0},"schema":"https://github.com/citation-style-language/schema/raw/master/csl-citation.json"}</w:instrText>
      </w:r>
      <w:r w:rsidRPr="00CB6698">
        <w:rPr>
          <w:lang w:val="es-MX"/>
        </w:rPr>
        <w:fldChar w:fldCharType="separate"/>
      </w:r>
      <w:r w:rsidRPr="00CB6698">
        <w:rPr>
          <w:lang w:val="es-MX"/>
        </w:rPr>
        <w:t xml:space="preserve">(Zhou </w:t>
      </w:r>
      <w:r w:rsidRPr="00CB6698">
        <w:rPr>
          <w:i/>
          <w:lang w:val="es-MX"/>
        </w:rPr>
        <w:t>et al.</w:t>
      </w:r>
      <w:r w:rsidRPr="00CB6698">
        <w:rPr>
          <w:lang w:val="es-MX"/>
        </w:rPr>
        <w:t>, 2019)</w:t>
      </w:r>
      <w:r w:rsidRPr="00CB6698">
        <w:fldChar w:fldCharType="end"/>
      </w:r>
      <w:r w:rsidRPr="00CB6698">
        <w:rPr>
          <w:lang w:val="es-MX"/>
        </w:rPr>
        <w:t xml:space="preserve">. Una cultura de innovación provee de prácticas y ambientes dispuestos a generar conexiones entre el personal de alta dirección y el personal operativo, estimulando los riesgos y una gestión emprendedora </w:t>
      </w:r>
      <w:r w:rsidRPr="00CB6698">
        <w:rPr>
          <w:lang w:val="es-MX"/>
        </w:rPr>
        <w:fldChar w:fldCharType="begin" w:fldLock="1"/>
      </w:r>
      <w:r w:rsidRPr="00CB6698">
        <w:rPr>
          <w:lang w:val="es-MX"/>
        </w:rPr>
        <w:instrText>ADDIN CSL_CITATION {"citationItems":[{"id":"ITEM-1","itemData":{"DOI":"10.1108/MD-11-2018-1234","ISSN":"0025-1747","author":[{"dropping-particle":"","family":"Alvarez-Torres","given":"Francisco Javier","non-dropping-particle":"","parse-names":false,"suffix":""},{"dropping-particle":"","family":"Lopez-Torres","given":"Gabriela Citlalli","non-dropping-particle":"","parse-names":false,"suffix":""},{"dropping-particle":"","family":"Schiuma","given":"Giovanni","non-dropping-particle":"","parse-names":false,"suffix":""}],"container-title":"Management Decision","id":"ITEM-1","issued":{"date-parts":[["2019"]]},"page":"MD-11-2018-1234","title":"Linking entrepreneurial orientation to SMEs’ performance","type":"article-journal"},"uris":["http://www.mendeley.com/documents/?uuid=c1038ee4-82ce-4b50-af36-05670846ee21"]}],"mendeley":{"formattedCitation":"(Alvarez-Torres, Lopez-Torres and Schiuma, 2019)","plainTextFormattedCitation":"(Alvarez-Torres, Lopez-Torres and Schiuma, 2019)","previouslyFormattedCitation":"(Alvarez-Torres, Lopez-Torres and Schiuma, 2019)"},"properties":{"noteIndex":0},"schema":"https://github.com/citation-style-language/schema/raw/master/csl-citation.json"}</w:instrText>
      </w:r>
      <w:r w:rsidRPr="00CB6698">
        <w:rPr>
          <w:lang w:val="es-MX"/>
        </w:rPr>
        <w:fldChar w:fldCharType="separate"/>
      </w:r>
      <w:r w:rsidRPr="00CB6698">
        <w:rPr>
          <w:lang w:val="es-MX"/>
        </w:rPr>
        <w:t>(Alvarez-Torres, Lopez-Torres and Schiuma, 2019)</w:t>
      </w:r>
      <w:r w:rsidRPr="00CB6698">
        <w:fldChar w:fldCharType="end"/>
      </w:r>
      <w:r w:rsidRPr="00CB6698">
        <w:rPr>
          <w:lang w:val="es-MX"/>
        </w:rPr>
        <w:t xml:space="preserve">. </w:t>
      </w:r>
    </w:p>
    <w:p w14:paraId="3BA26674" w14:textId="01BA9863" w:rsidR="00CB6698" w:rsidRDefault="00CB6698" w:rsidP="00CB6698">
      <w:pPr>
        <w:spacing w:line="360" w:lineRule="auto"/>
        <w:jc w:val="both"/>
        <w:rPr>
          <w:lang w:val="es-MX"/>
        </w:rPr>
      </w:pPr>
      <w:r w:rsidRPr="00CB6698">
        <w:rPr>
          <w:lang w:val="es-MX"/>
        </w:rPr>
        <w:t xml:space="preserve">Aquellas organizaciones con una priorización por la disciplina, la autoridad y el trabajo de forma individual carecen de las estructuras para transformarse en una organización innovadora y puesto que lo digital requiere otro tipo de estructuras </w:t>
      </w:r>
      <w:r w:rsidRPr="00CB6698">
        <w:rPr>
          <w:lang w:val="es-MX"/>
        </w:rPr>
        <w:fldChar w:fldCharType="begin" w:fldLock="1"/>
      </w:r>
      <w:r w:rsidRPr="00CB6698">
        <w:rPr>
          <w:lang w:val="es-MX"/>
        </w:rPr>
        <w:instrText>ADDIN CSL_CITATION {"citationItems":[{"id":"ITEM-1","itemData":{"DOI":"10.1111/isj.12093","ISSN":"13652575","abstract":"The increased digitization of organizational processes and products poses new challenges for understanding product innovation. It also opens new horizons for information systems research. We analyse how ongoing pervasive digitization of product innovation reshapes knowledge creation and sharing in innovation networks. We argue that advances in digital technologies (1) increase innovation network connectivity by reducing communication costs and increasing its reach and scope and (2) increase the speed and scope of digital convergence, which increases network knowledge heterogeneity and need for integration. These developments, in turn, stretch existing innovation networks by redistributing control and increasing the demand for knowledge coordination across time and space presenting novel challenges for knowledge creation, assimilation and integration. Based on this foundation, we distinguish four types of emerging innovation networks supported by digitalization: (1) project innovation networks; (2) clan innovation networks; (3) federated innovation networks; and (4) anarchic innovation networks. Each network involves different cognitive and social translations - or ways of identifying, sharing and assimilating knowledge. We describe the role of five novel properties of digital infrastructures in supporting each type of innovation network: representational flexibility, semantic coherence, temporal and spatial traceability, knowledge brokering and linguistic calibration. We identify several implications for future innovation research. In particular, we focus on the emergence of anarchic network forms that follow full-fledged digital convergence founded on richer innovation ontologies and epistemologies calling to critically re-examine the nature and impact of modularization for innovation.","author":[{"dropping-particle":"","family":"Lyytinen","given":"Kalle","non-dropping-particle":"","parse-names":false,"suffix":""},{"dropping-particle":"","family":"Yoo","given":"Youngjin","non-dropping-particle":"","parse-names":false,"suffix":""},{"dropping-particle":"","family":"Boland","given":"Richard J.","non-dropping-particle":"","parse-names":false,"suffix":""}],"container-title":"Information Systems Journal","id":"ITEM-1","issue":"1","issued":{"date-parts":[["2016"]]},"page":"47-75","title":"Digital product innovation within four classes of innovation networks","type":"article-journal","volume":"26"},"uris":["http://www.mendeley.com/documents/?uuid=405f68b3-9579-4443-b2f7-ff309608924c"]}],"mendeley":{"formattedCitation":"(Lyytinen, Yoo and Boland, 2016)","plainTextFormattedCitation":"(Lyytinen, Yoo and Boland, 2016)","previouslyFormattedCitation":"(Lyytinen, Yoo and Boland, 2016)"},"properties":{"noteIndex":0},"schema":"https://github.com/citation-style-language/schema/raw/master/csl-citation.json"}</w:instrText>
      </w:r>
      <w:r w:rsidRPr="00CB6698">
        <w:rPr>
          <w:lang w:val="es-MX"/>
        </w:rPr>
        <w:fldChar w:fldCharType="separate"/>
      </w:r>
      <w:r w:rsidRPr="00CB6698">
        <w:rPr>
          <w:lang w:val="es-MX"/>
        </w:rPr>
        <w:t>(Lyytinen, Yoo and Boland, 2016)</w:t>
      </w:r>
      <w:r w:rsidRPr="00CB6698">
        <w:fldChar w:fldCharType="end"/>
      </w:r>
      <w:r w:rsidRPr="00CB6698">
        <w:rPr>
          <w:lang w:val="es-MX"/>
        </w:rPr>
        <w:t>, pueden poner en riesgo su supervivencia en el mercado. Ya que este paradigma requiere una comunicación horizontal, abierta y activa. Así como trabajo en redes y conexiones tanto formales como informales en ambientes tecnológicos.</w:t>
      </w:r>
    </w:p>
    <w:p w14:paraId="6E74B706" w14:textId="77777777" w:rsidR="00CB6698" w:rsidRPr="00CB6698" w:rsidRDefault="00CB6698" w:rsidP="00CB6698">
      <w:pPr>
        <w:spacing w:line="360" w:lineRule="auto"/>
        <w:jc w:val="both"/>
        <w:rPr>
          <w:lang w:val="es-MX"/>
        </w:rPr>
      </w:pPr>
    </w:p>
    <w:p w14:paraId="604151B2" w14:textId="04274311" w:rsidR="00CB6698" w:rsidRPr="00D911C9" w:rsidRDefault="00CB6698" w:rsidP="00CB6698">
      <w:pPr>
        <w:numPr>
          <w:ilvl w:val="1"/>
          <w:numId w:val="4"/>
        </w:numPr>
        <w:spacing w:line="360" w:lineRule="auto"/>
        <w:jc w:val="both"/>
        <w:rPr>
          <w:b/>
          <w:bCs/>
          <w:sz w:val="28"/>
          <w:szCs w:val="28"/>
          <w:lang w:val="es-MX"/>
        </w:rPr>
      </w:pPr>
      <w:r w:rsidRPr="00D911C9">
        <w:rPr>
          <w:b/>
          <w:bCs/>
          <w:sz w:val="28"/>
          <w:szCs w:val="28"/>
          <w:lang w:val="es-MX"/>
        </w:rPr>
        <w:t>Liderazgos y Personal en la I</w:t>
      </w:r>
      <w:proofErr w:type="spellStart"/>
      <w:r w:rsidRPr="00D911C9">
        <w:rPr>
          <w:b/>
          <w:bCs/>
          <w:sz w:val="28"/>
          <w:szCs w:val="28"/>
        </w:rPr>
        <w:t>nnovación</w:t>
      </w:r>
      <w:proofErr w:type="spellEnd"/>
    </w:p>
    <w:p w14:paraId="71448B56" w14:textId="77777777" w:rsidR="00CB6698" w:rsidRPr="00CB6698" w:rsidRDefault="00CB6698" w:rsidP="003A6DDE">
      <w:pPr>
        <w:spacing w:line="360" w:lineRule="auto"/>
        <w:ind w:left="1080"/>
        <w:jc w:val="both"/>
        <w:rPr>
          <w:b/>
          <w:bCs/>
          <w:lang w:val="es-MX"/>
        </w:rPr>
      </w:pPr>
    </w:p>
    <w:p w14:paraId="44E80689" w14:textId="05F42BB2" w:rsidR="00CB6698" w:rsidRDefault="00CB6698" w:rsidP="00461645">
      <w:pPr>
        <w:spacing w:line="360" w:lineRule="auto"/>
        <w:ind w:firstLine="567"/>
        <w:jc w:val="both"/>
        <w:rPr>
          <w:lang w:val="es-MX"/>
        </w:rPr>
      </w:pPr>
      <w:r w:rsidRPr="00CB6698">
        <w:rPr>
          <w:lang w:val="es-MX"/>
        </w:rPr>
        <w:t xml:space="preserve">De igual forma cuando se habla de liderazgos en contextos de innovación, es altamente recomendable </w:t>
      </w:r>
      <w:r w:rsidRPr="00CB6698">
        <w:rPr>
          <w:lang w:val="es-MX"/>
        </w:rPr>
        <w:fldChar w:fldCharType="begin" w:fldLock="1"/>
      </w:r>
      <w:r w:rsidRPr="00CB6698">
        <w:rPr>
          <w:lang w:val="es-MX"/>
        </w:rPr>
        <w:instrText>ADDIN CSL_CITATION {"citationItems":[{"id":"ITEM-1","itemData":{"DOI":"10.1080/1461670X.2020.1789496","ISSN":"14699699","abstract":"Journalism scholars have acknowledged the importance of innovation in journalism. A common finding is that journalism has difficulty adapting to change and uses multiple coping mechanisms, including making excuses for not innovating by relying on their professional norms and practices. However, such research does not more broadly show how journalism studies research has shaped what scholars have learned about innovation practices. The goal of this study is to provide a systematic literature review of news innovation research since the 1990s. This article deploys a qualitative content analysis of peer-reviewed journal articles about news innovation in media and journalism studies. It shows that journalism and media scholars discuss news innovation as normative, participative, and experimentative. Journalism studies scholarship has also focused on innovation as a process, integrating elements of audience engagement, structure, system, and network. The goal of this study is twofold. First, it discusses the methodological and conceptual/theoretical approaches taken in scholarly journal articles about news innovation. Second, it outlines limitations of such approaches and draws conclusions to conceptualize knowledge in this subfield of research. It argues that it is important to take into account those limitations, as they pose problems for the cumulative nature of news innovation research knowledge.","author":[{"dropping-particle":"","family":"Belair-Gagnon","given":"Valerie","non-dropping-particle":"","parse-names":false,"suffix":""},{"dropping-particle":"","family":"Steinke","given":"Allison J.","non-dropping-particle":"","parse-names":false,"suffix":""}],"container-title":"Journalism Studies","id":"ITEM-1","issue":"0","issued":{"date-parts":[["2020"]]},"page":"1724-1743","publisher":"Taylor &amp; Francis","title":"Capturing Digital News Innovation Research in Organizations, 1990–2018","type":"article-journal","volume":"0"},"uris":["http://www.mendeley.com/documents/?uuid=509f858b-c36e-4f00-96b6-7178567438ee"]}],"mendeley":{"formattedCitation":"(Belair-Gagnon and Steinke, 2020)","plainTextFormattedCitation":"(Belair-Gagnon and Steinke, 2020)","previouslyFormattedCitation":"(Belair-Gagnon and Steinke, 2020)"},"properties":{"noteIndex":0},"schema":"https://github.com/citation-style-language/schema/raw/master/csl-citation.json"}</w:instrText>
      </w:r>
      <w:r w:rsidRPr="00CB6698">
        <w:rPr>
          <w:lang w:val="es-MX"/>
        </w:rPr>
        <w:fldChar w:fldCharType="separate"/>
      </w:r>
      <w:r w:rsidRPr="00CB6698">
        <w:rPr>
          <w:lang w:val="es-MX"/>
        </w:rPr>
        <w:t>(Belair-Gagnon and Steinke, 2020)</w:t>
      </w:r>
      <w:r w:rsidRPr="00CB6698">
        <w:fldChar w:fldCharType="end"/>
      </w:r>
      <w:r w:rsidRPr="00CB6698">
        <w:rPr>
          <w:lang w:val="es-MX"/>
        </w:rPr>
        <w:t xml:space="preserve"> que se empiece desde la alta dirección pues es la responsable por la estrategia y enfoque de la organización, el uso de recursos y el refuerzo de prácticas de valores alrededor del error, la innovación y la creatividad. Si la alta dirección no juega con estos principios es muy complicado que la innovación sea prioridad.</w:t>
      </w:r>
    </w:p>
    <w:p w14:paraId="033CF148" w14:textId="77777777" w:rsidR="00461645" w:rsidRPr="00CB6698" w:rsidRDefault="00461645" w:rsidP="00461645">
      <w:pPr>
        <w:spacing w:line="360" w:lineRule="auto"/>
        <w:ind w:firstLine="567"/>
        <w:jc w:val="both"/>
        <w:rPr>
          <w:lang w:val="es-MX"/>
        </w:rPr>
      </w:pPr>
    </w:p>
    <w:p w14:paraId="144F8CB0" w14:textId="77777777" w:rsidR="00CB6698" w:rsidRPr="00CB6698" w:rsidRDefault="00CB6698" w:rsidP="00461645">
      <w:pPr>
        <w:spacing w:line="360" w:lineRule="auto"/>
        <w:ind w:firstLine="567"/>
        <w:jc w:val="both"/>
        <w:rPr>
          <w:lang w:val="es-MX"/>
        </w:rPr>
      </w:pPr>
      <w:r w:rsidRPr="00CB6698">
        <w:rPr>
          <w:lang w:val="es-MX"/>
        </w:rPr>
        <w:t>El desafío de la innovación es hacer que todos los líderes, gestores y mandos medios sean facilitadores y promotores de la innovación en el ambiente de la organización, sin embargo, las personas deben ser capaces de asumir riesgos respaldados por la alta gestión.</w:t>
      </w:r>
    </w:p>
    <w:p w14:paraId="4AD50A63" w14:textId="540111AD" w:rsidR="00CB6698" w:rsidRDefault="00CB6698" w:rsidP="00CB6698">
      <w:pPr>
        <w:spacing w:line="360" w:lineRule="auto"/>
        <w:jc w:val="both"/>
        <w:rPr>
          <w:lang w:val="es-MX"/>
        </w:rPr>
      </w:pPr>
      <w:r w:rsidRPr="00CB6698">
        <w:rPr>
          <w:lang w:val="es-MX"/>
        </w:rPr>
        <w:t>Pero no solo radica en los líderes el peso de la innovación, el verdadero gen se encuentra en las personas, quienes si bien apoyados por una buena estructura, acceso a recursos pueden marcar la diferencia. Sin embargo, es más complejo contar con la infraestructura pero no con las personas capacitadas para tal fin.</w:t>
      </w:r>
    </w:p>
    <w:p w14:paraId="480FEE5E" w14:textId="77777777" w:rsidR="00461645" w:rsidRPr="00CB6698" w:rsidRDefault="00461645" w:rsidP="00CB6698">
      <w:pPr>
        <w:spacing w:line="360" w:lineRule="auto"/>
        <w:jc w:val="both"/>
        <w:rPr>
          <w:lang w:val="es-MX"/>
        </w:rPr>
      </w:pPr>
    </w:p>
    <w:p w14:paraId="69FC589F" w14:textId="5733E8E4" w:rsidR="00CB6698" w:rsidRDefault="00CB6698" w:rsidP="00461645">
      <w:pPr>
        <w:spacing w:line="360" w:lineRule="auto"/>
        <w:ind w:firstLine="567"/>
        <w:jc w:val="both"/>
        <w:rPr>
          <w:lang w:val="es-MX"/>
        </w:rPr>
      </w:pPr>
      <w:r w:rsidRPr="00CB6698">
        <w:rPr>
          <w:lang w:val="es-MX"/>
        </w:rPr>
        <w:lastRenderedPageBreak/>
        <w:t xml:space="preserve">Medir cómo las personas innovan es un elemento fundamental para entender una cultura de innovación, especialmente en un sector o lugar geográfico. Algunas organizaciones han optado por premiar de manera individual los esfuerzos de innovación, otras de manera colectiva. La valoración no siempre es económica, pero es uno de los elementos que se midieron en el modelo de esta investigación </w:t>
      </w:r>
      <w:r w:rsidRPr="00CB6698">
        <w:rPr>
          <w:lang w:val="es-MX"/>
        </w:rPr>
        <w:fldChar w:fldCharType="begin" w:fldLock="1"/>
      </w:r>
      <w:r w:rsidRPr="00CB6698">
        <w:rPr>
          <w:lang w:val="es-MX"/>
        </w:rPr>
        <w:instrText>ADDIN CSL_CITATION {"citationItems":[{"id":"ITEM-1","itemData":{"DOI":"10.1177/002205740606301811","ISSN":"0022-0574","author":[{"dropping-particle":"","family":"Rao","given":"Jay","non-dropping-particle":"","parse-names":false,"suffix":""},{"dropping-particle":"","family":"Weintraub","given":"Joseph","non-dropping-particle":"","parse-names":false,"suffix":""}],"container-title":"MITSLoan Management Review","id":"ITEM-1","issue":"3","issued":{"date-parts":[["2013"]]},"page":"29-37","title":"How innovative is your company's culture?","type":"article-journal","volume":"54"},"uris":["http://www.mendeley.com/documents/?uuid=ac5a765b-72bb-42af-aafe-8e46d4ece20e"]}],"mendeley":{"formattedCitation":"(Rao and Weintraub, 2013)","plainTextFormattedCitation":"(Rao and Weintraub, 2013)","previouslyFormattedCitation":"(Rao and Weintraub, 2013)"},"properties":{"noteIndex":0},"schema":"https://github.com/citation-style-language/schema/raw/master/csl-citation.json"}</w:instrText>
      </w:r>
      <w:r w:rsidRPr="00CB6698">
        <w:rPr>
          <w:lang w:val="es-MX"/>
        </w:rPr>
        <w:fldChar w:fldCharType="separate"/>
      </w:r>
      <w:r w:rsidRPr="00CB6698">
        <w:rPr>
          <w:lang w:val="es-MX"/>
        </w:rPr>
        <w:t>(Rao and Weintraub, 2013)</w:t>
      </w:r>
      <w:r w:rsidRPr="00CB6698">
        <w:fldChar w:fldCharType="end"/>
      </w:r>
      <w:r w:rsidRPr="00CB6698">
        <w:rPr>
          <w:lang w:val="es-MX"/>
        </w:rPr>
        <w:t>.</w:t>
      </w:r>
    </w:p>
    <w:p w14:paraId="7D7A4A91" w14:textId="77777777" w:rsidR="003A6DDE" w:rsidRPr="00CB6698" w:rsidRDefault="003A6DDE" w:rsidP="00CB6698">
      <w:pPr>
        <w:spacing w:line="360" w:lineRule="auto"/>
        <w:jc w:val="both"/>
        <w:rPr>
          <w:lang w:val="es-MX"/>
        </w:rPr>
      </w:pPr>
    </w:p>
    <w:p w14:paraId="10E0B1BE" w14:textId="20566959" w:rsidR="00CB6698" w:rsidRPr="00D911C9" w:rsidRDefault="00CB6698" w:rsidP="00CB6698">
      <w:pPr>
        <w:numPr>
          <w:ilvl w:val="1"/>
          <w:numId w:val="4"/>
        </w:numPr>
        <w:spacing w:line="360" w:lineRule="auto"/>
        <w:jc w:val="both"/>
        <w:rPr>
          <w:b/>
          <w:bCs/>
          <w:sz w:val="28"/>
          <w:szCs w:val="28"/>
          <w:lang w:val="es-MX"/>
        </w:rPr>
      </w:pPr>
      <w:r w:rsidRPr="00D911C9">
        <w:rPr>
          <w:b/>
          <w:bCs/>
          <w:sz w:val="28"/>
          <w:szCs w:val="28"/>
          <w:lang w:val="es-MX"/>
        </w:rPr>
        <w:t>Estructura para la Innovación</w:t>
      </w:r>
    </w:p>
    <w:p w14:paraId="2E144D01" w14:textId="77777777" w:rsidR="003A6DDE" w:rsidRPr="00CB6698" w:rsidRDefault="003A6DDE" w:rsidP="0081108F">
      <w:pPr>
        <w:spacing w:line="360" w:lineRule="auto"/>
        <w:ind w:left="360"/>
        <w:jc w:val="both"/>
        <w:rPr>
          <w:b/>
          <w:bCs/>
          <w:lang w:val="es-MX"/>
        </w:rPr>
      </w:pPr>
    </w:p>
    <w:p w14:paraId="170F81AB" w14:textId="263878CC" w:rsidR="00CB6698" w:rsidRDefault="00CB6698" w:rsidP="00461645">
      <w:pPr>
        <w:spacing w:line="360" w:lineRule="auto"/>
        <w:ind w:firstLine="567"/>
        <w:jc w:val="both"/>
        <w:rPr>
          <w:lang w:val="es-MX"/>
        </w:rPr>
      </w:pPr>
      <w:r w:rsidRPr="00CB6698">
        <w:rPr>
          <w:lang w:val="es-MX"/>
        </w:rPr>
        <w:t xml:space="preserve">La gestión de una organización innovadora es un caos o una virtud para cualquier organización moderna. Ya que el reto requiere una estructura que facilite el cambio, premie el error y facilite tanto la creatividad individual como la colectiva </w:t>
      </w:r>
      <w:r w:rsidRPr="00CB6698">
        <w:rPr>
          <w:lang w:val="es-MX"/>
        </w:rPr>
        <w:fldChar w:fldCharType="begin" w:fldLock="1"/>
      </w:r>
      <w:r w:rsidRPr="00CB6698">
        <w:rPr>
          <w:lang w:val="es-MX"/>
        </w:rPr>
        <w:instrText>ADDIN CSL_CITATION {"citationItems":[{"id":"ITEM-1","itemData":{"ISBN":"978-607-312-003-6","author":[{"dropping-particle":"","family":"Robinson","given":"Ken","non-dropping-particle":"","parse-names":false,"suffix":""},{"dropping-particle":"","family":"Aronica","given":"Lou","non-dropping-particle":"","parse-names":false,"suffix":""}],"edition":"4ta","id":"ITEM-1","issued":{"date-parts":[["2016"]]},"number-of-pages":"359","publisher":"Debolsillo","publisher-place":"Cd de México, México","title":"El Elemento: Descrubir tu pasión lo cambia todo","type":"book"},"uris":["http://www.mendeley.com/documents/?uuid=e1e49997-a2e8-4f11-a9fb-e3c14a2ae22f"]}],"mendeley":{"formattedCitation":"(Robinson and Aronica, 2016)","plainTextFormattedCitation":"(Robinson and Aronica, 2016)","previouslyFormattedCitation":"(Robinson and Aronica, 2016)"},"properties":{"noteIndex":0},"schema":"https://github.com/citation-style-language/schema/raw/master/csl-citation.json"}</w:instrText>
      </w:r>
      <w:r w:rsidRPr="00CB6698">
        <w:rPr>
          <w:lang w:val="es-MX"/>
        </w:rPr>
        <w:fldChar w:fldCharType="separate"/>
      </w:r>
      <w:r w:rsidRPr="00CB6698">
        <w:rPr>
          <w:lang w:val="es-MX"/>
        </w:rPr>
        <w:t>(Robinson and Aronica, 2016)</w:t>
      </w:r>
      <w:r w:rsidRPr="00CB6698">
        <w:fldChar w:fldCharType="end"/>
      </w:r>
      <w:r w:rsidRPr="00CB6698">
        <w:rPr>
          <w:lang w:val="es-MX"/>
        </w:rPr>
        <w:t>. Una estructura plana con pocos niveles de jerarquía tiende a favorecer la innovación, mientras que una estructura tipo pirámide la limita.</w:t>
      </w:r>
    </w:p>
    <w:p w14:paraId="5F7EEC1F" w14:textId="77777777" w:rsidR="00461645" w:rsidRPr="00CB6698" w:rsidRDefault="00461645" w:rsidP="00461645">
      <w:pPr>
        <w:spacing w:line="360" w:lineRule="auto"/>
        <w:ind w:firstLine="567"/>
        <w:jc w:val="both"/>
        <w:rPr>
          <w:lang w:val="es-MX"/>
        </w:rPr>
      </w:pPr>
    </w:p>
    <w:p w14:paraId="48EE4713" w14:textId="13BE9597" w:rsidR="00CB6698" w:rsidRDefault="00CB6698" w:rsidP="00A34A67">
      <w:pPr>
        <w:spacing w:line="360" w:lineRule="auto"/>
        <w:ind w:firstLine="567"/>
        <w:jc w:val="both"/>
        <w:rPr>
          <w:lang w:val="es-MX"/>
        </w:rPr>
      </w:pPr>
      <w:r w:rsidRPr="00CB6698">
        <w:rPr>
          <w:lang w:val="es-MX"/>
        </w:rPr>
        <w:t xml:space="preserve">Algunas organizaciones optan por centralizar las actividades en un departamento destinado para tal y aunque pudiera funcionar en algunos contextos, en México puede generar más pasos u obstáculos </w:t>
      </w:r>
      <w:r w:rsidRPr="00CB6698">
        <w:rPr>
          <w:lang w:val="es-MX"/>
        </w:rPr>
        <w:fldChar w:fldCharType="begin" w:fldLock="1"/>
      </w:r>
      <w:r w:rsidRPr="00CB6698">
        <w:rPr>
          <w:lang w:val="es-MX"/>
        </w:rPr>
        <w:instrText>ADDIN CSL_CITATION {"citationItems":[{"id":"ITEM-1","itemData":{"URL":"http://expansion.mx/manufactura/2010/10/19/innovacion-mexico-en-el-camino","accessed":{"date-parts":[["2017","11","10"]]},"author":[{"dropping-particle":"","family":"Domínguez","given":"Hugo","non-dropping-particle":"","parse-names":false,"suffix":""}],"container-title":"Revista Digital Expansión","id":"ITEM-1","issued":{"date-parts":[["2010"]]},"title":"Innovación: México en el Camino","type":"webpage"},"uris":["http://www.mendeley.com/documents/?uuid=43c9c6ee-2ca4-492d-9e69-6baa6049858a"]},{"id":"ITEM-2","itemData":{"DOI":"10.1787/9789264060906-es","ISBN":"9789264061491","abstract":"Aunque México ha presentado estabilidad macroeconómica en años recientes, el país aún padece de un estancamiento en el crecimiento de su productividad. Está perdiendo su lugar respecto de varias economías rivales, y entre los países miembros de la OCDE, México tiene uno de los más altos índices de desigualdad entre las regiones. En un contexto mundial, la competitividad de México a largo plazo necesitará mayor acción tanto en el sector público como en el privado para estimular la innovación y el crecimiento económico en todas las regiones del territorio nacional. Desde el plano nacional, es necesaria una mayor atención en las políticas de desarrollo regional, ciencia, tecnología e innovación, empresas y educación superior, a fin de impulsar los clusters y los sistemas de innovación regional. Aunque los estados también han tomado medidas en sus políticas, podrían hacer mucho más para abordar las brechas entre la innovación y el desempeño económico. En este informe se revisan tanto las políticas nacionales como estatales de México y la manera en que pueden fomentar mejor los sistemas de innovación regional; incluye una semblanza de 15 estados. Este documento será interesante para quienes están a cargo de definir las políticas, para las empresas y demás instancias que actúan en la promoción de la innovación y del desarrollo económico regional. TAMBIÉN","author":[{"dropping-particle":"","family":"OECD","given":"","non-dropping-particle":"","parse-names":false,"suffix":""}],"container-title":"OCDE Reviews of Regional Innovation","id":"ITEM-2","issued":{"date-parts":[["2009"]]},"number-of-pages":"446","title":"Estudios de la OCDE de Innovación Regional. 15 Estados Mexicanos","type":"book"},"uris":["http://www.mendeley.com/documents/?uuid=035e635a-f12a-44fb-9bc3-a51c0b319d28"]}],"mendeley":{"formattedCitation":"(OECD, 2009; Domínguez, 2010)","plainTextFormattedCitation":"(OECD, 2009; Domínguez, 2010)","previouslyFormattedCitation":"(OECD, 2009; Domínguez, 2010)"},"properties":{"noteIndex":0},"schema":"https://github.com/citation-style-language/schema/raw/master/csl-citation.json"}</w:instrText>
      </w:r>
      <w:r w:rsidRPr="00CB6698">
        <w:rPr>
          <w:lang w:val="es-MX"/>
        </w:rPr>
        <w:fldChar w:fldCharType="separate"/>
      </w:r>
      <w:r w:rsidRPr="00CB6698">
        <w:rPr>
          <w:lang w:val="es-MX"/>
        </w:rPr>
        <w:t>(OECD, 2009; Domínguez, 2010)</w:t>
      </w:r>
      <w:r w:rsidRPr="00CB6698">
        <w:fldChar w:fldCharType="end"/>
      </w:r>
      <w:r w:rsidRPr="00CB6698">
        <w:rPr>
          <w:lang w:val="es-MX"/>
        </w:rPr>
        <w:t>. Otras organizaciones se visualizan trabajando por proyectos o se asume como una responsabilidad compartida. Esto por su propia configuración atrae riesgos.</w:t>
      </w:r>
    </w:p>
    <w:p w14:paraId="117D764F" w14:textId="77777777" w:rsidR="00752308" w:rsidRPr="00CB6698" w:rsidRDefault="00752308" w:rsidP="00CB6698">
      <w:pPr>
        <w:spacing w:line="360" w:lineRule="auto"/>
        <w:jc w:val="both"/>
        <w:rPr>
          <w:lang w:val="es-MX"/>
        </w:rPr>
      </w:pPr>
    </w:p>
    <w:p w14:paraId="78298874" w14:textId="7DF3CE30" w:rsidR="00CB6698" w:rsidRDefault="00CB6698" w:rsidP="00CB6698">
      <w:pPr>
        <w:numPr>
          <w:ilvl w:val="1"/>
          <w:numId w:val="4"/>
        </w:numPr>
        <w:spacing w:line="360" w:lineRule="auto"/>
        <w:jc w:val="both"/>
        <w:rPr>
          <w:b/>
          <w:bCs/>
          <w:lang w:val="es-MX"/>
        </w:rPr>
      </w:pPr>
      <w:r w:rsidRPr="00CB6698">
        <w:rPr>
          <w:b/>
          <w:bCs/>
          <w:lang w:val="es-MX"/>
        </w:rPr>
        <w:t>Procesos para la innovación</w:t>
      </w:r>
    </w:p>
    <w:p w14:paraId="0D3A00E6" w14:textId="77777777" w:rsidR="00752308" w:rsidRPr="00CB6698" w:rsidRDefault="00752308" w:rsidP="00445F41">
      <w:pPr>
        <w:spacing w:line="360" w:lineRule="auto"/>
        <w:jc w:val="both"/>
        <w:rPr>
          <w:b/>
          <w:bCs/>
          <w:lang w:val="es-MX"/>
        </w:rPr>
      </w:pPr>
    </w:p>
    <w:p w14:paraId="6C64C133" w14:textId="2FA2D98A" w:rsidR="00CB6698" w:rsidRDefault="00CB6698" w:rsidP="00C50B77">
      <w:pPr>
        <w:spacing w:line="360" w:lineRule="auto"/>
        <w:ind w:firstLine="567"/>
        <w:jc w:val="both"/>
        <w:rPr>
          <w:lang w:val="es-MX"/>
        </w:rPr>
      </w:pPr>
      <w:r w:rsidRPr="00CB6698">
        <w:rPr>
          <w:lang w:val="es-MX"/>
        </w:rPr>
        <w:t xml:space="preserve">Muy pocas organizaciones poseen un elemento formal acerca de la gestión de la innovación. En el caso mexicano, las empresas PYME y la educación han sorteado un año complejo en cuanto al rendimiento, especialmente durante 2020 y lo que va del 2021 </w:t>
      </w:r>
      <w:r w:rsidRPr="00CB6698">
        <w:rPr>
          <w:lang w:val="es-MX"/>
        </w:rPr>
        <w:fldChar w:fldCharType="begin" w:fldLock="1"/>
      </w:r>
      <w:r w:rsidRPr="00CB6698">
        <w:rPr>
          <w:lang w:val="es-MX"/>
        </w:rPr>
        <w:instrText>ADDIN CSL_CITATION {"citationItems":[{"id":"ITEM-1","itemData":{"DOI":"10.36888/udual.universidades.2020.86.407","ISSN":"0041-8935","abstract":"El propósito de este artículo es describir los probables impactos a corto y largo plazo de la pandemia en la educación superior. Situaremos el contexto de la educación superior en México comentando la ausencia las políticas públicas educativas frente a la pandemia en el caso de este nivel educativo. Analizaremos tres factores que confluyen en el impacto sobre la educación superior: el económico, el tecnológico y el organizativo-pedagógico. Describiremos los tres grandes impactos a consecuencia de la confluencia de estos factores: la ampliación de la desigualdad educativa, el abandono escolar y el déficit de aprendizajes debido a las deficientes condiciones en los hogares. Señala la necesidad de la planeación tanto gubernamental como desde las instituciones y subsistemas para mitigar y para intentar revertir los efectos analizados.","author":[{"dropping-particle":"","family":"Schmelkes","given":"Sylvia","non-dropping-particle":"","parse-names":false,"suffix":""}],"container-title":"Universidades","id":"ITEM-1","issue":"86","issued":{"date-parts":[["2020"]]},"page":"73-87","title":"La educación superior ante la pandemia de la Covid-19: el caso de México","type":"article-journal","volume":"71"},"uris":["http://www.mendeley.com/documents/?uuid=ab5bea66-58f7-40f3-bb0e-a33983869477"]}],"mendeley":{"formattedCitation":"(Schmelkes, 2020)","plainTextFormattedCitation":"(Schmelkes, 2020)","previouslyFormattedCitation":"(Schmelkes, 2020)"},"properties":{"noteIndex":0},"schema":"https://github.com/citation-style-language/schema/raw/master/csl-citation.json"}</w:instrText>
      </w:r>
      <w:r w:rsidRPr="00CB6698">
        <w:rPr>
          <w:lang w:val="es-MX"/>
        </w:rPr>
        <w:fldChar w:fldCharType="separate"/>
      </w:r>
      <w:r w:rsidRPr="00CB6698">
        <w:rPr>
          <w:lang w:val="es-MX"/>
        </w:rPr>
        <w:t>(Schmelkes, 2020)</w:t>
      </w:r>
      <w:r w:rsidRPr="00CB6698">
        <w:fldChar w:fldCharType="end"/>
      </w:r>
      <w:r w:rsidRPr="00CB6698">
        <w:rPr>
          <w:lang w:val="es-MX"/>
        </w:rPr>
        <w:t>. Especialmente en la adquisición de talento.</w:t>
      </w:r>
    </w:p>
    <w:p w14:paraId="15804838" w14:textId="77777777" w:rsidR="00C50B77" w:rsidRPr="00CB6698" w:rsidRDefault="00C50B77" w:rsidP="00C50B77">
      <w:pPr>
        <w:spacing w:line="360" w:lineRule="auto"/>
        <w:ind w:firstLine="567"/>
        <w:jc w:val="both"/>
        <w:rPr>
          <w:lang w:val="es-MX"/>
        </w:rPr>
      </w:pPr>
    </w:p>
    <w:p w14:paraId="7054B37E" w14:textId="755F51F3" w:rsidR="00CB6698" w:rsidRDefault="00CB6698" w:rsidP="00C50B77">
      <w:pPr>
        <w:spacing w:line="360" w:lineRule="auto"/>
        <w:ind w:firstLine="567"/>
        <w:jc w:val="both"/>
        <w:rPr>
          <w:lang w:val="es-MX"/>
        </w:rPr>
      </w:pPr>
      <w:r w:rsidRPr="00CB6698">
        <w:rPr>
          <w:lang w:val="es-MX"/>
        </w:rPr>
        <w:t xml:space="preserve">Es por ello, que los procesos ideales para una gestión de la innovación es transformar ideas en valor y conocimiento para el mercado existente o para uno nuevo en formación </w:t>
      </w:r>
      <w:r w:rsidRPr="00CB6698">
        <w:rPr>
          <w:lang w:val="es-MX"/>
        </w:rPr>
        <w:fldChar w:fldCharType="begin" w:fldLock="1"/>
      </w:r>
      <w:r w:rsidRPr="00CB6698">
        <w:rPr>
          <w:lang w:val="es-MX"/>
        </w:rPr>
        <w:instrText>ADDIN CSL_CITATION {"citationItems":[{"id":"ITEM-1","itemData":{"DOI":"10.7341/20161225","ISSN":"22997075","abstract":"The aim of this paper is to explain the nature of management innovation, as well as to propose its measurement instrument. The paper offers a review of key publications on management innovation published in research journals within the last two decades. The critical analysis – primarily focused on definitions, the proposed dimensions of management innovation and the scales used for their measurement – has allowed for the development of an original tool for measuring management innovation (MI). Five dimensions of management innovation are proposed, namely, strategic dimension, structural dimension, employee motivation and development dimension, interorganisational relations and partnership dimension, and ICT dimension. Using survey data of 301 employees from different companies in Poland, the validation of the management innovation measurement instrument was conducted. Internal consistency analysis (Cronbach's alpha) and factor analysis, used to test the statistical reliability of the tool, yielded satisfactory results. The findings of this study contribute to advancing innovation research, particularly the state of knowledge on management innovation. Implications for both research and managerial practice are also presented. The proposed five-dimension management innovation model can be used to measure the scope of management innovation in further research and develop the knowledge about links between MI and an organisation's performance or its impact on technological innovativeness. In addition this study uncovers a wide range of information on management innovation issues for interested parties and for future research.","author":[{"dropping-particle":"","family":"Kraśnicka","given":"Teresa","non-dropping-particle":"","parse-names":false,"suffix":""},{"dropping-particle":"","family":"Głód","given":"Wojciech","non-dropping-particle":"","parse-names":false,"suffix":""},{"dropping-particle":"","family":"Wronka-Pośpiech","given":"Martyna","non-dropping-particle":"","parse-names":false,"suffix":""}],"container-title":"Journal of Entrepreneurship, Management and Innovation","id":"ITEM-1","issue":"2","issued":{"date-parts":[["2017"]]},"page":"95-121","title":"Management Innovation and Its Measurement","type":"article-journal","volume":"12"},"uris":["http://www.mendeley.com/documents/?uuid=9474a764-6eb0-4115-bbfe-e1e9a3ab4bf5"]}],"mendeley":{"formattedCitation":"(Kraśnicka, Głód and Wronka-Pośpiech, 2017)","plainTextFormattedCitation":"(Kraśnicka, Głód and Wronka-Pośpiech, 2017)","previouslyFormattedCitation":"(Kraśnicka, Głód and Wronka-Pośpiech, 2017)"},"properties":{"noteIndex":0},"schema":"https://github.com/citation-style-language/schema/raw/master/csl-citation.json"}</w:instrText>
      </w:r>
      <w:r w:rsidRPr="00CB6698">
        <w:rPr>
          <w:lang w:val="es-MX"/>
        </w:rPr>
        <w:fldChar w:fldCharType="separate"/>
      </w:r>
      <w:r w:rsidRPr="00CB6698">
        <w:rPr>
          <w:lang w:val="es-MX"/>
        </w:rPr>
        <w:t>(Kraśnicka, Głód and Wronka-Pośpiech, 2017)</w:t>
      </w:r>
      <w:r w:rsidRPr="00CB6698">
        <w:fldChar w:fldCharType="end"/>
      </w:r>
      <w:r w:rsidRPr="00CB6698">
        <w:rPr>
          <w:lang w:val="es-MX"/>
        </w:rPr>
        <w:t>. Para ello es necesario evaluar, organizar, experimentar, invertir y desarrollar. En ocasiones en “n” iteraciones a lo largo de un ciclo económico.</w:t>
      </w:r>
    </w:p>
    <w:p w14:paraId="64D7CDAA" w14:textId="77777777" w:rsidR="00C50B77" w:rsidRPr="00CB6698" w:rsidRDefault="00C50B77" w:rsidP="00C50B77">
      <w:pPr>
        <w:spacing w:line="360" w:lineRule="auto"/>
        <w:ind w:firstLine="567"/>
        <w:jc w:val="both"/>
        <w:rPr>
          <w:lang w:val="es-MX"/>
        </w:rPr>
      </w:pPr>
    </w:p>
    <w:p w14:paraId="7C76CD40" w14:textId="7D25E57C" w:rsidR="00CB6698" w:rsidRDefault="00CB6698" w:rsidP="00C50B77">
      <w:pPr>
        <w:spacing w:line="360" w:lineRule="auto"/>
        <w:ind w:firstLine="567"/>
        <w:jc w:val="both"/>
        <w:rPr>
          <w:lang w:val="es-MX"/>
        </w:rPr>
      </w:pPr>
      <w:r w:rsidRPr="00CB6698">
        <w:rPr>
          <w:lang w:val="es-MX"/>
        </w:rPr>
        <w:t>Si bien la cultura de innovación es un tema esencial para el ecosistema y las empresas de cualquier región, es difícil su medición, es por ello, que los autores Rao y Weintraun (2013) del Babson College en Boston, Estados Unidos propusieron un modelo a través del cual es posible medir los diversos componentes básicos de la cultura de innovación. Los autores denominaron a esta medida el Cociente de la Innovación (CI) que es el resultado de medir la innovación en seis bloques. El CI permite definir posibles acciones para concretar una cultura de innovación en una empresa, en el caso de esta investigación se aplicó a empresas PYME del sector manufacturero del estado de Guanajuato.</w:t>
      </w:r>
    </w:p>
    <w:p w14:paraId="31E1B970" w14:textId="77777777" w:rsidR="00D911C9" w:rsidRPr="00CB6698" w:rsidRDefault="00D911C9" w:rsidP="00C50B77">
      <w:pPr>
        <w:spacing w:line="360" w:lineRule="auto"/>
        <w:ind w:firstLine="567"/>
        <w:jc w:val="both"/>
        <w:rPr>
          <w:lang w:val="es-MX"/>
        </w:rPr>
      </w:pPr>
    </w:p>
    <w:p w14:paraId="48C8453D" w14:textId="4B93A1D6" w:rsidR="005C1920" w:rsidRPr="00B60952" w:rsidRDefault="009818A0" w:rsidP="005C1920">
      <w:pPr>
        <w:spacing w:line="360" w:lineRule="auto"/>
        <w:rPr>
          <w:b/>
          <w:color w:val="244061"/>
          <w:sz w:val="28"/>
        </w:rPr>
      </w:pPr>
      <w:r w:rsidRPr="00B60952">
        <w:rPr>
          <w:b/>
          <w:color w:val="244061"/>
          <w:sz w:val="28"/>
        </w:rPr>
        <w:t>3</w:t>
      </w:r>
      <w:r w:rsidR="005C1920" w:rsidRPr="00B60952">
        <w:rPr>
          <w:b/>
          <w:color w:val="244061"/>
          <w:sz w:val="28"/>
        </w:rPr>
        <w:t>. Metodología</w:t>
      </w:r>
    </w:p>
    <w:p w14:paraId="24B51093" w14:textId="23F5A8A8" w:rsidR="00234FA0" w:rsidRPr="00234FA0" w:rsidRDefault="00234FA0" w:rsidP="00C50B77">
      <w:pPr>
        <w:spacing w:line="360" w:lineRule="auto"/>
        <w:ind w:firstLine="567"/>
        <w:jc w:val="both"/>
        <w:rPr>
          <w:szCs w:val="20"/>
          <w:lang w:val="es-MX"/>
        </w:rPr>
      </w:pPr>
      <w:r w:rsidRPr="00234FA0">
        <w:rPr>
          <w:szCs w:val="20"/>
          <w:lang w:val="es-MX"/>
        </w:rPr>
        <w:t xml:space="preserve">Para llevar a cabo el estudio se entrevistaron 177 empresas PYME del estado de Guanajuato de diversos sectores, se llevó a cabo la adaptación del instrumento elaborado por Rao y Weintraun (2013) con 54 ítems cerradas evaluadas por escala Likert de 5 posibilidades de respuesta. La información se analizó teniendo en cuenta los 6 bloques que los autores proponen como herramienta para obtener el CI. El modelo propuesto permite evaluar el área racional del negocio, como la emocional y de la organización </w:t>
      </w:r>
      <w:r w:rsidRPr="00234FA0">
        <w:rPr>
          <w:szCs w:val="20"/>
          <w:lang w:val="es-MX"/>
        </w:rPr>
        <w:fldChar w:fldCharType="begin" w:fldLock="1"/>
      </w:r>
      <w:r w:rsidRPr="00234FA0">
        <w:rPr>
          <w:szCs w:val="20"/>
          <w:lang w:val="es-MX"/>
        </w:rPr>
        <w:instrText>ADDIN CSL_CITATION {"citationItems":[{"id":"ITEM-1","itemData":{"DOI":"10.1177/002205740606301811","ISSN":"0022-0574","author":[{"dropping-particle":"","family":"Rao","given":"Jay","non-dropping-particle":"","parse-names":false,"suffix":""},{"dropping-particle":"","family":"Weintraub","given":"Joseph","non-dropping-particle":"","parse-names":false,"suffix":""}],"container-title":"MITSLoan Management Review","id":"ITEM-1","issue":"3","issued":{"date-parts":[["2013"]]},"page":"29-37","title":"How innovative is your company's culture?","type":"article-journal","volume":"54"},"uris":["http://www.mendeley.com/documents/?uuid=ac5a765b-72bb-42af-aafe-8e46d4ece20e"]}],"mendeley":{"formattedCitation":"(Rao and Weintraub, 2013)","plainTextFormattedCitation":"(Rao and Weintraub, 2013)","previouslyFormattedCitation":"(Rao and Weintraub, 2013)"},"properties":{"noteIndex":0},"schema":"https://github.com/citation-style-language/schema/raw/master/csl-citation.json"}</w:instrText>
      </w:r>
      <w:r w:rsidRPr="00234FA0">
        <w:rPr>
          <w:szCs w:val="20"/>
          <w:lang w:val="es-MX"/>
        </w:rPr>
        <w:fldChar w:fldCharType="separate"/>
      </w:r>
      <w:r w:rsidRPr="00234FA0">
        <w:rPr>
          <w:szCs w:val="20"/>
          <w:lang w:val="es-MX"/>
        </w:rPr>
        <w:t>(Rao and Weintraub, 2013)</w:t>
      </w:r>
      <w:r w:rsidRPr="00234FA0">
        <w:rPr>
          <w:szCs w:val="20"/>
        </w:rPr>
        <w:fldChar w:fldCharType="end"/>
      </w:r>
      <w:r w:rsidRPr="00234FA0">
        <w:rPr>
          <w:szCs w:val="20"/>
          <w:lang w:val="es-MX"/>
        </w:rPr>
        <w:t>. Para llevar a cabo el estudio se entrevistó al Gerente General de la Empresa o Fundador por medios presenciales y/o digitales.</w:t>
      </w:r>
    </w:p>
    <w:p w14:paraId="5149ACBF" w14:textId="77777777" w:rsidR="00234FA0" w:rsidRPr="00234FA0" w:rsidRDefault="00234FA0" w:rsidP="00234FA0">
      <w:pPr>
        <w:spacing w:line="360" w:lineRule="auto"/>
        <w:jc w:val="both"/>
        <w:rPr>
          <w:b/>
          <w:bCs/>
          <w:szCs w:val="20"/>
          <w:lang w:val="es-MX"/>
        </w:rPr>
      </w:pPr>
    </w:p>
    <w:p w14:paraId="1274F0F5" w14:textId="07869159" w:rsidR="00234FA0" w:rsidRDefault="00234FA0" w:rsidP="00C50B77">
      <w:pPr>
        <w:spacing w:line="360" w:lineRule="auto"/>
        <w:ind w:firstLine="567"/>
        <w:jc w:val="both"/>
        <w:rPr>
          <w:szCs w:val="20"/>
          <w:lang w:val="es-MX"/>
        </w:rPr>
      </w:pPr>
      <w:r w:rsidRPr="00234FA0">
        <w:rPr>
          <w:szCs w:val="20"/>
          <w:lang w:val="es-MX"/>
        </w:rPr>
        <w:t xml:space="preserve">Para llevar a cabo el proceso de verificación y validación estadística se utilizó el sistema de ecuaciones estructurales por mínimos cuadrados parciales (SEM-PLS, por sus siglas en inglés) </w:t>
      </w:r>
      <w:r w:rsidRPr="00234FA0">
        <w:rPr>
          <w:szCs w:val="20"/>
          <w:lang w:val="es-MX"/>
        </w:rPr>
        <w:fldChar w:fldCharType="begin" w:fldLock="1"/>
      </w:r>
      <w:r w:rsidRPr="00234FA0">
        <w:rPr>
          <w:szCs w:val="20"/>
          <w:lang w:val="es-MX"/>
        </w:rPr>
        <w:instrText>ADDIN CSL_CITATION {"citationItems":[{"id":"ITEM-1","itemData":{"DOI":"10.1016/j.jcps.2009.09.003","ISBN":"1057-7408","ISSN":"10577408","abstract":"This article is the second of two parts intended to serve as a primer for structural equations models for the behavioral researcher. The first article introduced the basics: the measurement model, the structural model, and the combined, full structural equations model. In this second article, advanced issues are addressed, including fit indices and sample size, moderators, longitudinal data, mediation, and so forth. © 2009 Society for Consumer Psychology.","author":[{"dropping-particle":"","family":"Iacobucci","given":"Dawn","non-dropping-particle":"","parse-names":false,"suffix":""}],"container-title":"Journal of Consumer Psychology","id":"ITEM-1","issue":"1","issued":{"date-parts":[["2010"]]},"page":"90-98","title":"Structural equations modeling: Fit Indices, sample size, and advanced topics","type":"article-journal","volume":"20"},"uris":["http://www.mendeley.com/documents/?uuid=82a2ea61-2c13-45ae-a54d-5c9f219d94a3"]},{"id":"ITEM-2","itemData":{"DOI":"1483377393","ISBN":"978-148-337-74-14","author":[{"dropping-particle":"","family":"Hair","given":"Joseph F.","non-dropping-particle":"","parse-names":false,"suffix":""},{"dropping-particle":"","family":"Sarstedt","given":"Marko","non-dropping-particle":"","parse-names":false,"suffix":""},{"dropping-particle":"","family":"Ringle","given":"Christian M.","non-dropping-particle":"","parse-names":false,"suffix":""},{"dropping-particle":"","family":"Gudergan","given":"Siegfried P.","non-dropping-particle":"","parse-names":false,"suffix":""}],"edition":"1ra","editor":[{"dropping-particle":"","family":"Publications","given":"SAGE","non-dropping-particle":"","parse-names":false,"suffix":""}],"id":"ITEM-2","issued":{"date-parts":[["2018"]]},"number-of-pages":"254","publisher":"SAGE Publications","title":"Advanced Issues in Partial Least Squares Structural Equation Modeling","type":"book"},"uris":["http://www.mendeley.com/documents/?uuid=754afb89-12e6-4598-bba0-390d3a1424d8"]},{"id":"ITEM-3","itemData":{"author":[{"dropping-particle":"","family":"Hair","given":"Joseph F.","non-dropping-particle":"","parse-names":false,"suffix":""},{"dropping-particle":"","family":"Tatham","given":"Ronald L.","non-dropping-particle":"","parse-names":false,"suffix":""},{"dropping-particle":"","family":"Anderson","given":"Rolph E.","non-dropping-particle":"","parse-names":false,"suffix":""},{"dropping-particle":"","family":"Black","given":"William","non-dropping-particle":"","parse-names":false,"suffix":""}],"edition":"7th","editor":[{"dropping-particle":"","family":"Pearson","given":"","non-dropping-particle":"","parse-names":false,"suffix":""}],"id":"ITEM-3","issued":{"date-parts":[["2010"]]},"title":"Multivariate Data Analysis","type":"book"},"uris":["http://www.mendeley.com/documents/?uuid=0eb05a70-33ee-423a-8b76-b6a2038d7418"]},{"id":"ITEM-4","itemData":{"DOI":"10.1007/s11747-011-0261-6","ISBN":"0092-0703","ISSN":"00920703","PMID":"73521855","abstract":"Most methodological fields undertake regular critical reflections to ensure rigorous research and publication practices, and, consequently, acceptance in their domain. Interestingly, relatively little attention has been paid to assessing the use of partial least squares structural equation modeling (PLS-SEM) in marketing research-despite its increasing popularity in recent years. To fill this gap, we conducted an extensive search in the 30 top ranked marketing journals that allowed us to identify 204 PLS-SEM applications published in a 30-year period (1981 to 2010). A critical analysis of these articles addresses, amongst others, the following key methodological issues: reasons for using PLS-SEM, data and model characteristics, outer and inner model evaluations, and reporting. We also give an overview of the interdependencies between researchers' choices, identify potential problem areas, and discuss their implications. On the basis of our findings, we provide comprehensive guidelines to aid researchers in avoiding common pitfalls in PLS-SEM use. This study is important for researchers and practitioners, as PLS-SEM requires several critical choices that, if not made correctly, can lead to improper findings, interpretations, and conclusions.","author":[{"dropping-particle":"","family":"Hair","given":"Joseph F.","non-dropping-particle":"","parse-names":false,"suffix":""},{"dropping-particle":"","family":"Sarstedt","given":"Marko","non-dropping-particle":"","parse-names":false,"suffix":""},{"dropping-particle":"","family":"Ringle","given":"Christian M.","non-dropping-particle":"","parse-names":false,"suffix":""},{"dropping-particle":"","family":"Mena","given":"Jeannette A.","non-dropping-particle":"","parse-names":false,"suffix":""}],"container-title":"Journal of the Academy of Marketing Science","id":"ITEM-4","issue":"3","issued":{"date-parts":[["2012"]]},"page":"414-433","title":"An assessment of the use of partial least squares structural equation modeling in marketing research","type":"article-journal","volume":"40"},"uris":["http://www.mendeley.com/documents/?uuid=522923cd-e0bd-4072-b22d-01ede679ff28"]}],"mendeley":{"formattedCitation":"(Hair &lt;i&gt;et al.&lt;/i&gt;, 2010, 2012, 2018; Iacobucci, 2010)","plainTextFormattedCitation":"(Hair et al., 2010, 2012, 2018; Iacobucci, 2010)","previouslyFormattedCitation":"(Hair et al., 2010, 2012, 2018; Iacobucci, 2010)"},"properties":{"noteIndex":0},"schema":"https://github.com/citation-style-language/schema/raw/master/csl-citation.json"}</w:instrText>
      </w:r>
      <w:r w:rsidRPr="00234FA0">
        <w:rPr>
          <w:szCs w:val="20"/>
          <w:lang w:val="es-MX"/>
        </w:rPr>
        <w:fldChar w:fldCharType="separate"/>
      </w:r>
      <w:r w:rsidRPr="00234FA0">
        <w:rPr>
          <w:szCs w:val="20"/>
          <w:lang w:val="es-MX"/>
        </w:rPr>
        <w:t xml:space="preserve">(Hair </w:t>
      </w:r>
      <w:r w:rsidRPr="00234FA0">
        <w:rPr>
          <w:i/>
          <w:szCs w:val="20"/>
          <w:lang w:val="es-MX"/>
        </w:rPr>
        <w:t>et al.</w:t>
      </w:r>
      <w:r w:rsidRPr="00234FA0">
        <w:rPr>
          <w:szCs w:val="20"/>
          <w:lang w:val="es-MX"/>
        </w:rPr>
        <w:t>, 2010, 2012, 2018; Iacobucci, 2010)</w:t>
      </w:r>
      <w:r w:rsidRPr="00234FA0">
        <w:rPr>
          <w:szCs w:val="20"/>
        </w:rPr>
        <w:fldChar w:fldCharType="end"/>
      </w:r>
      <w:r w:rsidRPr="00234FA0">
        <w:rPr>
          <w:szCs w:val="20"/>
          <w:lang w:val="es-MX"/>
        </w:rPr>
        <w:t xml:space="preserve">. El modelo de investigación cuenta con seis dimensiones reflectivas (véase Figura 3) </w:t>
      </w:r>
      <w:r w:rsidRPr="00234FA0">
        <w:rPr>
          <w:szCs w:val="20"/>
          <w:lang w:val="es-MX"/>
        </w:rPr>
        <w:fldChar w:fldCharType="begin" w:fldLock="1"/>
      </w:r>
      <w:r w:rsidRPr="00234FA0">
        <w:rPr>
          <w:szCs w:val="20"/>
          <w:lang w:val="es-MX"/>
        </w:rPr>
        <w:instrText>ADDIN CSL_CITATION {"citationItems":[{"id":"ITEM-1","itemData":{"DOI":"10.1016/j.lrp.2012.10.001","ISBN":"0024-6301","ISSN":"00246301","PMID":"25308114","abstract":"Partial least squares structural equation modeling (PLS-SEM), or partial least squares path modeling (PLS) has enjoyed increasing popularity in recent years. In this context, the use of hierarchical latent variable models has allowed researchers to extend the application of PLS-SEM to more advanced and complex models. However, the attention has been mainly focused on hierarchical latent variable models with reflective relationships. In this manuscript, we focus on second-order hierarchical latent variable models that include formative relationships. First, we discuss a typology of (second-order) hierarchical latent variable models. Subsequently, we provide an overview of different approaches that can be used to estimate the parameters in these models: (1) the repeated indicator approach, (2) the two-stage approach, and (3) the hybrid approach. Next, we compare the approaches using a simulation study and an empirical application in a strategic human resource management context. The findings from the simulation and the empirical application serve as a basis for recommendations and guidelines regarding the use and estimation of reflective-formative type hierarchical latent variable models in PLS-SEM. © 2012 Elsevier Ltd.","author":[{"dropping-particle":"","family":"Becker","given":"Jan Michael","non-dropping-particle":"","parse-names":false,"suffix":""},{"dropping-particle":"","family":"Klein","given":"Kristina","non-dropping-particle":"","parse-names":false,"suffix":""},{"dropping-particle":"","family":"Wetzels","given":"Martin","non-dropping-particle":"","parse-names":false,"suffix":""}],"container-title":"Long Range Planning","id":"ITEM-1","issue":"5-6","issued":{"date-parts":[["2012"]]},"page":"359-394","publisher":"Elsevier","title":"Hierarchical Latent Variable Models in PLS-SEM: Guidelines for Using Reflective-Formative Type Models","type":"article-journal","volume":"45"},"uris":["http://www.mendeley.com/documents/?uuid=2f9143a6-b0c1-4f3b-9c5e-49b51d6d112e"]}],"mendeley":{"formattedCitation":"(Becker, Klein and Wetzels, 2012)","plainTextFormattedCitation":"(Becker, Klein and Wetzels, 2012)","previouslyFormattedCitation":"(Becker et al., 2012)"},"properties":{"noteIndex":0},"schema":"https://github.com/citation-style-language/schema/raw/master/csl-citation.json"}</w:instrText>
      </w:r>
      <w:r w:rsidRPr="00234FA0">
        <w:rPr>
          <w:szCs w:val="20"/>
          <w:lang w:val="es-MX"/>
        </w:rPr>
        <w:fldChar w:fldCharType="separate"/>
      </w:r>
      <w:r w:rsidRPr="00234FA0">
        <w:rPr>
          <w:szCs w:val="20"/>
          <w:lang w:val="es-MX"/>
        </w:rPr>
        <w:t>(Becker, Klein and Wetzels, 2012)</w:t>
      </w:r>
      <w:r w:rsidRPr="00234FA0">
        <w:rPr>
          <w:szCs w:val="20"/>
        </w:rPr>
        <w:fldChar w:fldCharType="end"/>
      </w:r>
      <w:r w:rsidRPr="00234FA0">
        <w:rPr>
          <w:szCs w:val="20"/>
          <w:lang w:val="es-MX"/>
        </w:rPr>
        <w:t>. Las dimensiones permiten retratar el fenómeno de la innovación en las PYMES encuestadas y permite discutir los resultados a la luz de las implicaciones en la recuperación económica poscovid.</w:t>
      </w:r>
    </w:p>
    <w:p w14:paraId="5082A679" w14:textId="3F395111" w:rsidR="00C50B77" w:rsidRDefault="00C50B77" w:rsidP="00C50B77">
      <w:pPr>
        <w:spacing w:line="360" w:lineRule="auto"/>
        <w:ind w:firstLine="567"/>
        <w:jc w:val="both"/>
        <w:rPr>
          <w:szCs w:val="20"/>
          <w:lang w:val="es-MX"/>
        </w:rPr>
      </w:pPr>
    </w:p>
    <w:p w14:paraId="5AFE70CA" w14:textId="0C73266F" w:rsidR="00C50B77" w:rsidRDefault="00C50B77" w:rsidP="00C50B77">
      <w:pPr>
        <w:spacing w:line="360" w:lineRule="auto"/>
        <w:ind w:firstLine="567"/>
        <w:jc w:val="center"/>
        <w:rPr>
          <w:szCs w:val="20"/>
          <w:lang w:val="es-MX"/>
        </w:rPr>
      </w:pPr>
      <w:r>
        <w:rPr>
          <w:noProof/>
          <w:szCs w:val="20"/>
          <w:lang w:val="es-MX"/>
        </w:rPr>
        <w:lastRenderedPageBreak/>
        <w:drawing>
          <wp:inline distT="0" distB="0" distL="0" distR="0" wp14:anchorId="3E98AA5E" wp14:editId="78BF3F09">
            <wp:extent cx="2593340" cy="1927993"/>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3"/>
                    <a:stretch>
                      <a:fillRect/>
                    </a:stretch>
                  </pic:blipFill>
                  <pic:spPr>
                    <a:xfrm>
                      <a:off x="0" y="0"/>
                      <a:ext cx="2599728" cy="1932742"/>
                    </a:xfrm>
                    <a:prstGeom prst="rect">
                      <a:avLst/>
                    </a:prstGeom>
                  </pic:spPr>
                </pic:pic>
              </a:graphicData>
            </a:graphic>
          </wp:inline>
        </w:drawing>
      </w:r>
    </w:p>
    <w:p w14:paraId="2B44F80F" w14:textId="77777777" w:rsidR="00C50B77" w:rsidRPr="00234FA0" w:rsidRDefault="00C50B77" w:rsidP="00C50B77">
      <w:pPr>
        <w:spacing w:line="360" w:lineRule="auto"/>
        <w:ind w:firstLine="567"/>
        <w:jc w:val="both"/>
        <w:rPr>
          <w:szCs w:val="20"/>
          <w:lang w:val="es-MX"/>
        </w:rPr>
      </w:pPr>
    </w:p>
    <w:p w14:paraId="2EF89845" w14:textId="5BE2405E" w:rsidR="00234FA0" w:rsidRDefault="00234FA0" w:rsidP="00234FA0">
      <w:pPr>
        <w:spacing w:line="360" w:lineRule="auto"/>
        <w:jc w:val="both"/>
        <w:rPr>
          <w:szCs w:val="20"/>
          <w:lang w:val="es-MX"/>
        </w:rPr>
      </w:pPr>
      <w:r w:rsidRPr="00234FA0">
        <w:rPr>
          <w:szCs w:val="20"/>
          <w:lang w:val="es-MX"/>
        </w:rPr>
        <w:t>Figura 2. Modelo Teórico adaptado para la investigación.  Fuente: Adaptado para SmartPLS, elaborado por Rao &amp; Weintraub, 2013.</w:t>
      </w:r>
    </w:p>
    <w:p w14:paraId="11CC38FB" w14:textId="77777777" w:rsidR="00C50B77" w:rsidRPr="00234FA0" w:rsidRDefault="00C50B77" w:rsidP="00234FA0">
      <w:pPr>
        <w:spacing w:line="360" w:lineRule="auto"/>
        <w:jc w:val="both"/>
        <w:rPr>
          <w:szCs w:val="20"/>
          <w:lang w:val="es-MX"/>
        </w:rPr>
      </w:pPr>
    </w:p>
    <w:p w14:paraId="11F65547" w14:textId="77777777" w:rsidR="00234FA0" w:rsidRPr="00234FA0" w:rsidRDefault="00234FA0" w:rsidP="004346DC">
      <w:pPr>
        <w:spacing w:line="360" w:lineRule="auto"/>
        <w:ind w:firstLine="567"/>
        <w:jc w:val="both"/>
        <w:rPr>
          <w:szCs w:val="20"/>
          <w:lang w:val="es-MX"/>
        </w:rPr>
      </w:pPr>
      <w:r w:rsidRPr="00234FA0">
        <w:rPr>
          <w:szCs w:val="20"/>
          <w:lang w:val="es-MX"/>
        </w:rPr>
        <w:t>Las 6 dimensiones evaluadas consideran los siguientes elementos del Modelo de Rao &amp; Weintraub (2013):</w:t>
      </w:r>
    </w:p>
    <w:p w14:paraId="32323FD6" w14:textId="77777777" w:rsidR="00234FA0" w:rsidRPr="00234FA0" w:rsidRDefault="00234FA0" w:rsidP="00234FA0">
      <w:pPr>
        <w:numPr>
          <w:ilvl w:val="0"/>
          <w:numId w:val="5"/>
        </w:numPr>
        <w:spacing w:line="360" w:lineRule="auto"/>
        <w:jc w:val="both"/>
        <w:rPr>
          <w:szCs w:val="20"/>
        </w:rPr>
      </w:pPr>
      <w:r w:rsidRPr="00234FA0">
        <w:rPr>
          <w:szCs w:val="20"/>
        </w:rPr>
        <w:t>Valores,</w:t>
      </w:r>
    </w:p>
    <w:p w14:paraId="4CC7D3AD" w14:textId="77777777" w:rsidR="00234FA0" w:rsidRPr="00234FA0" w:rsidRDefault="00234FA0" w:rsidP="00234FA0">
      <w:pPr>
        <w:numPr>
          <w:ilvl w:val="0"/>
          <w:numId w:val="5"/>
        </w:numPr>
        <w:spacing w:line="360" w:lineRule="auto"/>
        <w:jc w:val="both"/>
        <w:rPr>
          <w:szCs w:val="20"/>
        </w:rPr>
      </w:pPr>
      <w:r w:rsidRPr="00234FA0">
        <w:rPr>
          <w:szCs w:val="20"/>
        </w:rPr>
        <w:t>Comportamientos,</w:t>
      </w:r>
    </w:p>
    <w:p w14:paraId="29107302" w14:textId="77777777" w:rsidR="00234FA0" w:rsidRPr="00234FA0" w:rsidRDefault="00234FA0" w:rsidP="00234FA0">
      <w:pPr>
        <w:numPr>
          <w:ilvl w:val="0"/>
          <w:numId w:val="5"/>
        </w:numPr>
        <w:spacing w:line="360" w:lineRule="auto"/>
        <w:jc w:val="both"/>
        <w:rPr>
          <w:szCs w:val="20"/>
        </w:rPr>
      </w:pPr>
      <w:r w:rsidRPr="00234FA0">
        <w:rPr>
          <w:szCs w:val="20"/>
        </w:rPr>
        <w:t>Clima Laboral,</w:t>
      </w:r>
    </w:p>
    <w:p w14:paraId="7718E16D" w14:textId="77777777" w:rsidR="00234FA0" w:rsidRPr="00234FA0" w:rsidRDefault="00234FA0" w:rsidP="00234FA0">
      <w:pPr>
        <w:numPr>
          <w:ilvl w:val="0"/>
          <w:numId w:val="5"/>
        </w:numPr>
        <w:spacing w:line="360" w:lineRule="auto"/>
        <w:jc w:val="both"/>
        <w:rPr>
          <w:szCs w:val="20"/>
        </w:rPr>
      </w:pPr>
      <w:r w:rsidRPr="00234FA0">
        <w:rPr>
          <w:szCs w:val="20"/>
        </w:rPr>
        <w:t>Recursos,</w:t>
      </w:r>
    </w:p>
    <w:p w14:paraId="108CFA4D" w14:textId="77777777" w:rsidR="00234FA0" w:rsidRPr="00234FA0" w:rsidRDefault="00234FA0" w:rsidP="00234FA0">
      <w:pPr>
        <w:numPr>
          <w:ilvl w:val="0"/>
          <w:numId w:val="5"/>
        </w:numPr>
        <w:spacing w:line="360" w:lineRule="auto"/>
        <w:jc w:val="both"/>
        <w:rPr>
          <w:szCs w:val="20"/>
        </w:rPr>
      </w:pPr>
      <w:r w:rsidRPr="00234FA0">
        <w:rPr>
          <w:szCs w:val="20"/>
        </w:rPr>
        <w:t>Procesos,</w:t>
      </w:r>
    </w:p>
    <w:p w14:paraId="0B6B1E70" w14:textId="77777777" w:rsidR="00234FA0" w:rsidRPr="00234FA0" w:rsidRDefault="00234FA0" w:rsidP="00234FA0">
      <w:pPr>
        <w:numPr>
          <w:ilvl w:val="0"/>
          <w:numId w:val="5"/>
        </w:numPr>
        <w:spacing w:line="360" w:lineRule="auto"/>
        <w:jc w:val="both"/>
        <w:rPr>
          <w:szCs w:val="20"/>
        </w:rPr>
      </w:pPr>
      <w:r w:rsidRPr="00234FA0">
        <w:rPr>
          <w:szCs w:val="20"/>
        </w:rPr>
        <w:t>Éxitos.</w:t>
      </w:r>
    </w:p>
    <w:p w14:paraId="277B6696" w14:textId="77777777" w:rsidR="00234FA0" w:rsidRPr="00234FA0" w:rsidRDefault="00234FA0" w:rsidP="00234FA0">
      <w:pPr>
        <w:spacing w:line="360" w:lineRule="auto"/>
        <w:jc w:val="both"/>
        <w:rPr>
          <w:szCs w:val="20"/>
          <w:lang w:val="es-MX"/>
        </w:rPr>
      </w:pPr>
    </w:p>
    <w:p w14:paraId="441B4F4D" w14:textId="77777777" w:rsidR="00234FA0" w:rsidRPr="00234FA0" w:rsidRDefault="00234FA0" w:rsidP="00234FA0">
      <w:pPr>
        <w:spacing w:line="360" w:lineRule="auto"/>
        <w:jc w:val="both"/>
        <w:rPr>
          <w:szCs w:val="20"/>
          <w:lang w:val="es-MX"/>
        </w:rPr>
      </w:pPr>
      <w:r w:rsidRPr="00234FA0">
        <w:rPr>
          <w:szCs w:val="20"/>
          <w:lang w:val="es-MX"/>
        </w:rPr>
        <w:t>A partir de lo anterior, se derivaron seis hipótesis acerca de las dimensiones del Modelo:</w:t>
      </w:r>
    </w:p>
    <w:p w14:paraId="66BE0966" w14:textId="77777777" w:rsidR="00234FA0" w:rsidRPr="00234FA0" w:rsidRDefault="00234FA0" w:rsidP="00234FA0">
      <w:pPr>
        <w:spacing w:line="360" w:lineRule="auto"/>
        <w:jc w:val="both"/>
        <w:rPr>
          <w:szCs w:val="20"/>
          <w:lang w:val="es-MX"/>
        </w:rPr>
      </w:pPr>
    </w:p>
    <w:p w14:paraId="237B7263" w14:textId="77777777" w:rsidR="00234FA0" w:rsidRPr="00234FA0" w:rsidRDefault="00234FA0" w:rsidP="00234FA0">
      <w:pPr>
        <w:spacing w:line="360" w:lineRule="auto"/>
        <w:jc w:val="both"/>
        <w:rPr>
          <w:szCs w:val="20"/>
          <w:lang w:val="es-MX"/>
        </w:rPr>
      </w:pPr>
      <w:r w:rsidRPr="00234FA0">
        <w:rPr>
          <w:b/>
          <w:bCs/>
          <w:szCs w:val="20"/>
          <w:lang w:val="es-MX"/>
        </w:rPr>
        <w:t>Hipótesis 1.</w:t>
      </w:r>
      <w:r w:rsidRPr="00234FA0">
        <w:rPr>
          <w:szCs w:val="20"/>
          <w:lang w:val="es-MX"/>
        </w:rPr>
        <w:t xml:space="preserve"> La dimensión de Valores se refleja </w:t>
      </w:r>
      <w:r w:rsidRPr="00234FA0">
        <w:rPr>
          <w:i/>
          <w:iCs/>
          <w:szCs w:val="20"/>
          <w:lang w:val="es-MX"/>
        </w:rPr>
        <w:t>positiva y significativamente</w:t>
      </w:r>
      <w:r w:rsidRPr="00234FA0">
        <w:rPr>
          <w:szCs w:val="20"/>
          <w:lang w:val="es-MX"/>
        </w:rPr>
        <w:t xml:space="preserve"> en el Coeficiente de Innovación (CI)</w:t>
      </w:r>
    </w:p>
    <w:p w14:paraId="18CA195F" w14:textId="77777777" w:rsidR="00234FA0" w:rsidRPr="00234FA0" w:rsidRDefault="00234FA0" w:rsidP="00234FA0">
      <w:pPr>
        <w:spacing w:line="360" w:lineRule="auto"/>
        <w:jc w:val="both"/>
        <w:rPr>
          <w:szCs w:val="20"/>
          <w:lang w:val="es-MX"/>
        </w:rPr>
      </w:pPr>
      <w:r w:rsidRPr="00234FA0">
        <w:rPr>
          <w:b/>
          <w:bCs/>
          <w:szCs w:val="20"/>
          <w:lang w:val="es-MX"/>
        </w:rPr>
        <w:t>Hipótesis 2.</w:t>
      </w:r>
      <w:r w:rsidRPr="00234FA0">
        <w:rPr>
          <w:szCs w:val="20"/>
          <w:lang w:val="es-MX"/>
        </w:rPr>
        <w:t xml:space="preserve"> La dimensión de Comportamientos se refleja </w:t>
      </w:r>
      <w:r w:rsidRPr="00234FA0">
        <w:rPr>
          <w:i/>
          <w:iCs/>
          <w:szCs w:val="20"/>
          <w:lang w:val="es-MX"/>
        </w:rPr>
        <w:t>positiva y significativamente</w:t>
      </w:r>
      <w:r w:rsidRPr="00234FA0">
        <w:rPr>
          <w:szCs w:val="20"/>
          <w:lang w:val="es-MX"/>
        </w:rPr>
        <w:t xml:space="preserve"> en el Coeficiente de Innovación (CI)</w:t>
      </w:r>
    </w:p>
    <w:p w14:paraId="45F70B50" w14:textId="77777777" w:rsidR="00234FA0" w:rsidRPr="00234FA0" w:rsidRDefault="00234FA0" w:rsidP="00234FA0">
      <w:pPr>
        <w:spacing w:line="360" w:lineRule="auto"/>
        <w:jc w:val="both"/>
        <w:rPr>
          <w:szCs w:val="20"/>
          <w:lang w:val="es-MX"/>
        </w:rPr>
      </w:pPr>
      <w:r w:rsidRPr="00234FA0">
        <w:rPr>
          <w:b/>
          <w:bCs/>
          <w:szCs w:val="20"/>
          <w:lang w:val="es-MX"/>
        </w:rPr>
        <w:t>Hipótesis 3.</w:t>
      </w:r>
      <w:r w:rsidRPr="00234FA0">
        <w:rPr>
          <w:szCs w:val="20"/>
          <w:lang w:val="es-MX"/>
        </w:rPr>
        <w:t xml:space="preserve"> La dimensión de Clima Laboral se refleja </w:t>
      </w:r>
      <w:r w:rsidRPr="00234FA0">
        <w:rPr>
          <w:i/>
          <w:iCs/>
          <w:szCs w:val="20"/>
          <w:lang w:val="es-MX"/>
        </w:rPr>
        <w:t>positiva y significativamente</w:t>
      </w:r>
      <w:r w:rsidRPr="00234FA0">
        <w:rPr>
          <w:szCs w:val="20"/>
          <w:lang w:val="es-MX"/>
        </w:rPr>
        <w:t xml:space="preserve"> en el Coeficiente de Innovación (CI)</w:t>
      </w:r>
    </w:p>
    <w:p w14:paraId="2C9C533C" w14:textId="77777777" w:rsidR="00234FA0" w:rsidRPr="00234FA0" w:rsidRDefault="00234FA0" w:rsidP="00234FA0">
      <w:pPr>
        <w:spacing w:line="360" w:lineRule="auto"/>
        <w:jc w:val="both"/>
        <w:rPr>
          <w:szCs w:val="20"/>
          <w:lang w:val="es-MX"/>
        </w:rPr>
      </w:pPr>
      <w:r w:rsidRPr="00234FA0">
        <w:rPr>
          <w:b/>
          <w:bCs/>
          <w:szCs w:val="20"/>
          <w:lang w:val="es-MX"/>
        </w:rPr>
        <w:t>Hipótesis 4</w:t>
      </w:r>
      <w:r w:rsidRPr="00234FA0">
        <w:rPr>
          <w:szCs w:val="20"/>
          <w:lang w:val="es-MX"/>
        </w:rPr>
        <w:t xml:space="preserve">. La dimensión de Recursos se refleja </w:t>
      </w:r>
      <w:r w:rsidRPr="00234FA0">
        <w:rPr>
          <w:i/>
          <w:iCs/>
          <w:szCs w:val="20"/>
          <w:lang w:val="es-MX"/>
        </w:rPr>
        <w:t>positiva y significativamente</w:t>
      </w:r>
      <w:r w:rsidRPr="00234FA0">
        <w:rPr>
          <w:szCs w:val="20"/>
          <w:lang w:val="es-MX"/>
        </w:rPr>
        <w:t xml:space="preserve"> en el Coeficiente de Innovación (CI)</w:t>
      </w:r>
    </w:p>
    <w:p w14:paraId="0ABAFF25" w14:textId="77777777" w:rsidR="00234FA0" w:rsidRPr="00234FA0" w:rsidRDefault="00234FA0" w:rsidP="00234FA0">
      <w:pPr>
        <w:spacing w:line="360" w:lineRule="auto"/>
        <w:jc w:val="both"/>
        <w:rPr>
          <w:szCs w:val="20"/>
          <w:lang w:val="es-MX"/>
        </w:rPr>
      </w:pPr>
      <w:r w:rsidRPr="00234FA0">
        <w:rPr>
          <w:b/>
          <w:bCs/>
          <w:szCs w:val="20"/>
          <w:lang w:val="es-MX"/>
        </w:rPr>
        <w:lastRenderedPageBreak/>
        <w:t>Hipótesis 5.</w:t>
      </w:r>
      <w:r w:rsidRPr="00234FA0">
        <w:rPr>
          <w:szCs w:val="20"/>
          <w:lang w:val="es-MX"/>
        </w:rPr>
        <w:t xml:space="preserve"> La dimensión de Procesos se refleja </w:t>
      </w:r>
      <w:r w:rsidRPr="00234FA0">
        <w:rPr>
          <w:i/>
          <w:iCs/>
          <w:szCs w:val="20"/>
          <w:lang w:val="es-MX"/>
        </w:rPr>
        <w:t>positiva y significativamente</w:t>
      </w:r>
      <w:r w:rsidRPr="00234FA0">
        <w:rPr>
          <w:szCs w:val="20"/>
          <w:lang w:val="es-MX"/>
        </w:rPr>
        <w:t xml:space="preserve"> en el Coeficiente de Innovación (CI)</w:t>
      </w:r>
    </w:p>
    <w:p w14:paraId="60EBF39F" w14:textId="77777777" w:rsidR="00234FA0" w:rsidRPr="00234FA0" w:rsidRDefault="00234FA0" w:rsidP="00234FA0">
      <w:pPr>
        <w:spacing w:line="360" w:lineRule="auto"/>
        <w:jc w:val="both"/>
        <w:rPr>
          <w:szCs w:val="20"/>
          <w:lang w:val="es-MX"/>
        </w:rPr>
      </w:pPr>
      <w:r w:rsidRPr="00234FA0">
        <w:rPr>
          <w:b/>
          <w:bCs/>
          <w:szCs w:val="20"/>
          <w:lang w:val="es-MX"/>
        </w:rPr>
        <w:t>Hipótesis 6</w:t>
      </w:r>
      <w:r w:rsidRPr="00234FA0">
        <w:rPr>
          <w:szCs w:val="20"/>
          <w:lang w:val="es-MX"/>
        </w:rPr>
        <w:t xml:space="preserve">. La dimensión de Éxitos se refleja </w:t>
      </w:r>
      <w:r w:rsidRPr="00234FA0">
        <w:rPr>
          <w:i/>
          <w:iCs/>
          <w:szCs w:val="20"/>
          <w:lang w:val="es-MX"/>
        </w:rPr>
        <w:t>positiva y significativamente</w:t>
      </w:r>
      <w:r w:rsidRPr="00234FA0">
        <w:rPr>
          <w:szCs w:val="20"/>
          <w:lang w:val="es-MX"/>
        </w:rPr>
        <w:t xml:space="preserve"> en el Coeficiente de Innovación (CI)</w:t>
      </w:r>
    </w:p>
    <w:p w14:paraId="56EDFEDD" w14:textId="77777777" w:rsidR="00234FA0" w:rsidRPr="00234FA0" w:rsidRDefault="00234FA0" w:rsidP="00234FA0">
      <w:pPr>
        <w:spacing w:line="360" w:lineRule="auto"/>
        <w:jc w:val="both"/>
        <w:rPr>
          <w:szCs w:val="20"/>
          <w:lang w:val="es-MX"/>
        </w:rPr>
      </w:pPr>
    </w:p>
    <w:p w14:paraId="035757E7" w14:textId="77777777" w:rsidR="00234FA0" w:rsidRPr="00234FA0" w:rsidRDefault="00234FA0" w:rsidP="00234FA0">
      <w:pPr>
        <w:spacing w:line="360" w:lineRule="auto"/>
        <w:jc w:val="both"/>
        <w:rPr>
          <w:szCs w:val="20"/>
          <w:lang w:val="es-MX"/>
        </w:rPr>
      </w:pPr>
    </w:p>
    <w:p w14:paraId="325637FA" w14:textId="3B70EC8B" w:rsidR="00234FA0" w:rsidRPr="00234FA0" w:rsidRDefault="00234FA0" w:rsidP="004346DC">
      <w:pPr>
        <w:spacing w:line="360" w:lineRule="auto"/>
        <w:ind w:firstLine="567"/>
        <w:jc w:val="both"/>
        <w:rPr>
          <w:szCs w:val="20"/>
          <w:lang w:val="es-MX"/>
        </w:rPr>
      </w:pPr>
      <w:r w:rsidRPr="00234FA0">
        <w:rPr>
          <w:szCs w:val="20"/>
          <w:lang w:val="es-MX"/>
        </w:rPr>
        <w:t xml:space="preserve">Para aplicar la metodología de PLS-SEM, es necesario diseñar el modelo reflectivo Tipo I </w:t>
      </w:r>
      <w:r w:rsidRPr="00234FA0">
        <w:rPr>
          <w:szCs w:val="20"/>
          <w:lang w:val="es-MX"/>
        </w:rPr>
        <w:fldChar w:fldCharType="begin" w:fldLock="1"/>
      </w:r>
      <w:r w:rsidRPr="00234FA0">
        <w:rPr>
          <w:szCs w:val="20"/>
          <w:lang w:val="es-MX"/>
        </w:rPr>
        <w:instrText xml:space="preserve">ADDIN CSL_CITATION {"citationItems":[{"id":"ITEM-1","itemData":{"DOI":"10.1016/j.lrp.2012.10.001","ISBN":"0024-6301","ISSN":"00246301","PMID":"25308114","abstract":"Partial least squares structural equation modeling (PLS-SEM), or partial least squares path modeling (PLS) has enjoyed increasing popularity in recent years. In this context, the use of hierarchical latent variable models has allowed researchers to extend the application of PLS-SEM to more advanced and complex models. However, the attention has been mainly focused on hierarchical latent variable models with reflective relationships. In this manuscript, we focus on second-order hierarchical latent variable models that include formative relationships. First, we discuss a typology of (second-order) hierarchical latent variable models. Subsequently, we provide an overview of different approaches that can be used to estimate the parameters in these models: (1) the repeated indicator approach, (2) the two-stage approach, and (3) the hybrid approach. Next, we compare the approaches using a simulation study and an empirical application in a strategic human resource management context. The findings from the simulation and the empirical application serve as a basis for recommendations and guidelines regarding the use and estimation of reflective-formative type hierarchical latent variable models in PLS-SEM. </w:instrText>
      </w:r>
      <w:r w:rsidRPr="00234FA0">
        <w:rPr>
          <w:rFonts w:hint="eastAsia"/>
          <w:szCs w:val="20"/>
          <w:lang w:val="es-MX"/>
        </w:rPr>
        <w:instrText>©</w:instrText>
      </w:r>
      <w:r w:rsidRPr="00234FA0">
        <w:rPr>
          <w:szCs w:val="20"/>
          <w:lang w:val="es-MX"/>
        </w:rPr>
        <w:instrText xml:space="preserve"> 2012 Elsevier Ltd.","author":[{"dropping-particle":"","family":"Becker","given":"Jan Michael","non-dropping-particle":"","parse-names":false,"suffix":""},{"dropping-particle":"","family":"Klein","given":"Kristina","non-dropping-particle":"","parse-names":false,"suffix":""},{"dropping-particle":"","family":"Wetzels","given":"Martin","non-dropping-particle":"","parse-names":false,"suffix":""}],"container-title":"Long Range Planning","id":"ITEM-1","issue":"5-6","issued":{"date-parts":[["2012"]]},"page":"359-394","publisher":"Elsevier","title":"Hierarchical Latent Variable Models in PLS-SEM: Guidelines for Using Reflective-Formative Type Models","type":"article-journal","volume":"45"},"uris":["http://www.mendeley.com/documents/?uuid=2f9143a6-b0c1-4f3b-9c5e-49b51d6d112e"]}],"mendeley":{"formattedCitation":"(Becker et al., 2012)","plainTextFormattedCitation":"(Becker et al., 2012)","previouslyFormattedCitation":"(Becker et al., 2012)"},"properties":{"noteIndex":0},"schema":"https://github.com/citation-style-language/schema/raw/master/csl-citation.json"}</w:instrText>
      </w:r>
      <w:r w:rsidRPr="00234FA0">
        <w:rPr>
          <w:szCs w:val="20"/>
          <w:lang w:val="es-MX"/>
        </w:rPr>
        <w:fldChar w:fldCharType="separate"/>
      </w:r>
      <w:r w:rsidRPr="00234FA0">
        <w:rPr>
          <w:szCs w:val="20"/>
          <w:lang w:val="es-MX"/>
        </w:rPr>
        <w:t>(Becker et al., 2012)</w:t>
      </w:r>
      <w:r w:rsidRPr="00234FA0">
        <w:rPr>
          <w:szCs w:val="20"/>
        </w:rPr>
        <w:fldChar w:fldCharType="end"/>
      </w:r>
      <w:r w:rsidRPr="00234FA0">
        <w:rPr>
          <w:szCs w:val="20"/>
          <w:lang w:val="es-MX"/>
        </w:rPr>
        <w:t xml:space="preserve"> en el software SmartPLS® versión 3.3.3 </w:t>
      </w:r>
      <w:r w:rsidRPr="00234FA0">
        <w:rPr>
          <w:szCs w:val="20"/>
          <w:lang w:val="es-MX"/>
        </w:rPr>
        <w:fldChar w:fldCharType="begin" w:fldLock="1"/>
      </w:r>
      <w:r w:rsidRPr="00234FA0">
        <w:rPr>
          <w:szCs w:val="20"/>
          <w:lang w:val="es-MX"/>
        </w:rPr>
        <w:instrText>ADDIN CSL_CITATION {"citationItems":[{"id":"ITEM-1","itemData":{"author":[{"dropping-particle":"","family":"Ringle","given":"Christian M.","non-dropping-particle":"","parse-names":false,"suffix":""},{"dropping-particle":"","family":"Wende","given":"S","non-dropping-particle":"","parse-names":false,"suffix":""},{"dropping-particle":"","family":"Becker","given":"Jan Michael","non-dropping-particle":"","parse-names":false,"suffix":""}],"id":"ITEM-1","issued":{"date-parts":[["2015"]]},"number":"3.2.7","publisher-place":"Boenningstedt, Germany","title":"Smart PLS 3","type":"article"},"uris":["http://www.mendeley.com/documents/?uuid=00227a5c-3370-403a-9b89-04b50d4de802"]}],"mendeley":{"formattedCitation":"(Ringle et al., 2015)","plainTextFormattedCitation":"(Ringle et al., 2015)","previouslyFormattedCitation":"(Ringle et al., 2015)"},"properties":{"noteIndex":0},"schema":"https://github.com/citation-style-language/schema/raw/master/csl-citation.json"}</w:instrText>
      </w:r>
      <w:r w:rsidRPr="00234FA0">
        <w:rPr>
          <w:szCs w:val="20"/>
          <w:lang w:val="es-MX"/>
        </w:rPr>
        <w:fldChar w:fldCharType="separate"/>
      </w:r>
      <w:r w:rsidRPr="00234FA0">
        <w:rPr>
          <w:szCs w:val="20"/>
          <w:lang w:val="es-MX"/>
        </w:rPr>
        <w:t>(Ringle et al., 2015)</w:t>
      </w:r>
      <w:r w:rsidRPr="00234FA0">
        <w:rPr>
          <w:szCs w:val="20"/>
        </w:rPr>
        <w:fldChar w:fldCharType="end"/>
      </w:r>
      <w:r w:rsidRPr="00234FA0">
        <w:rPr>
          <w:szCs w:val="20"/>
          <w:lang w:val="es-MX"/>
        </w:rPr>
        <w:t xml:space="preserve"> para las 177 observaciones.</w:t>
      </w:r>
      <w:r w:rsidR="004346DC">
        <w:rPr>
          <w:szCs w:val="20"/>
          <w:lang w:val="es-MX"/>
        </w:rPr>
        <w:t xml:space="preserve"> </w:t>
      </w:r>
      <w:r w:rsidRPr="00234FA0">
        <w:rPr>
          <w:szCs w:val="20"/>
          <w:lang w:val="es-MX"/>
        </w:rPr>
        <w:t xml:space="preserve">Para evaluar este tipo de modelos es necesario analizar la carga de los indicadores. Las cargas mayores a 0.700 indican que el constructo explica al menos el 50% de la varianza del indicador, es por ello que se procedió a retirar los indicadores menores a este parámetro. En este caso, los ítems eliminados corresponden a: el ítem 2 de la </w:t>
      </w:r>
      <w:r w:rsidRPr="00234FA0">
        <w:rPr>
          <w:i/>
          <w:iCs/>
          <w:szCs w:val="20"/>
          <w:lang w:val="es-MX"/>
        </w:rPr>
        <w:t>Dimensión de Valores</w:t>
      </w:r>
      <w:r w:rsidRPr="00234FA0">
        <w:rPr>
          <w:szCs w:val="20"/>
          <w:lang w:val="es-MX"/>
        </w:rPr>
        <w:t xml:space="preserve"> (0.403), ítem 3 (0.175), ítem 5 (0.664) e ítem 9 (0.669). Siendo la dimensión que más ítems fueron retirados del CI. El ítem 24 de la </w:t>
      </w:r>
      <w:r w:rsidRPr="00234FA0">
        <w:rPr>
          <w:i/>
          <w:iCs/>
          <w:szCs w:val="20"/>
          <w:lang w:val="es-MX"/>
        </w:rPr>
        <w:t>Dimensión de Clima Laboral</w:t>
      </w:r>
      <w:r w:rsidRPr="00234FA0">
        <w:rPr>
          <w:szCs w:val="20"/>
          <w:lang w:val="es-MX"/>
        </w:rPr>
        <w:t xml:space="preserve"> (0.612), ítem 25 (0.179) e ítem 26 (0.557). El ítem 54 de </w:t>
      </w:r>
      <w:r w:rsidRPr="00234FA0">
        <w:rPr>
          <w:i/>
          <w:iCs/>
          <w:szCs w:val="20"/>
          <w:lang w:val="es-MX"/>
        </w:rPr>
        <w:t>la Dimensión de Éxitos</w:t>
      </w:r>
      <w:r w:rsidRPr="00234FA0">
        <w:rPr>
          <w:szCs w:val="20"/>
          <w:lang w:val="es-MX"/>
        </w:rPr>
        <w:t xml:space="preserve"> (0.557). El ítem 41 de la </w:t>
      </w:r>
      <w:r w:rsidRPr="00234FA0">
        <w:rPr>
          <w:i/>
          <w:iCs/>
          <w:szCs w:val="20"/>
          <w:lang w:val="es-MX"/>
        </w:rPr>
        <w:t>Dimensión de Procesos</w:t>
      </w:r>
      <w:r w:rsidRPr="00234FA0">
        <w:rPr>
          <w:szCs w:val="20"/>
          <w:lang w:val="es-MX"/>
        </w:rPr>
        <w:t xml:space="preserve"> (0.643) y 43 (0.647). De igual forma el ítem 14 de la </w:t>
      </w:r>
      <w:r w:rsidRPr="00234FA0">
        <w:rPr>
          <w:i/>
          <w:iCs/>
          <w:szCs w:val="20"/>
          <w:lang w:val="es-MX"/>
        </w:rPr>
        <w:t>Dimensión de Comportamientos</w:t>
      </w:r>
      <w:r w:rsidRPr="00234FA0">
        <w:rPr>
          <w:szCs w:val="20"/>
          <w:lang w:val="es-MX"/>
        </w:rPr>
        <w:t xml:space="preserve"> (0.673). </w:t>
      </w:r>
    </w:p>
    <w:p w14:paraId="30AE4DC2" w14:textId="77777777" w:rsidR="00234FA0" w:rsidRPr="00234FA0" w:rsidRDefault="00234FA0" w:rsidP="00234FA0">
      <w:pPr>
        <w:spacing w:line="360" w:lineRule="auto"/>
        <w:jc w:val="both"/>
        <w:rPr>
          <w:szCs w:val="20"/>
          <w:lang w:val="es-MX"/>
        </w:rPr>
      </w:pPr>
    </w:p>
    <w:p w14:paraId="29E9E072" w14:textId="77777777" w:rsidR="00234FA0" w:rsidRPr="00234FA0" w:rsidRDefault="00234FA0" w:rsidP="004346DC">
      <w:pPr>
        <w:spacing w:line="360" w:lineRule="auto"/>
        <w:ind w:firstLine="567"/>
        <w:jc w:val="both"/>
        <w:rPr>
          <w:i/>
          <w:iCs/>
          <w:szCs w:val="20"/>
          <w:lang w:val="es-MX"/>
        </w:rPr>
      </w:pPr>
      <w:r w:rsidRPr="00234FA0">
        <w:rPr>
          <w:szCs w:val="20"/>
          <w:lang w:val="es-MX"/>
        </w:rPr>
        <w:t xml:space="preserve">El próximo paso de la validación del modelo es analizar la confiabilidad de consistencia interna para el uso de SEM-PLS se determina a través de la confiabilidad compuesta, la cual determina que para estudios exploratorios los márgenes de </w:t>
      </w:r>
      <w:r w:rsidRPr="00234FA0">
        <w:rPr>
          <w:i/>
          <w:iCs/>
          <w:szCs w:val="20"/>
          <w:lang w:val="es-MX"/>
        </w:rPr>
        <w:t xml:space="preserve">0.600 a 0.700 son aceptables, parámetros entre 0.700 y 0.950 son considerados satisfactorios y excelentes y aquellos mayores a 0.950 son problemáticos. </w:t>
      </w:r>
    </w:p>
    <w:p w14:paraId="0C544E82" w14:textId="77777777" w:rsidR="00234FA0" w:rsidRPr="00234FA0" w:rsidRDefault="00234FA0" w:rsidP="00234FA0">
      <w:pPr>
        <w:spacing w:line="360" w:lineRule="auto"/>
        <w:jc w:val="both"/>
        <w:rPr>
          <w:i/>
          <w:iCs/>
          <w:szCs w:val="20"/>
          <w:lang w:val="es-MX"/>
        </w:rPr>
      </w:pPr>
    </w:p>
    <w:p w14:paraId="19548395" w14:textId="77777777" w:rsidR="00234FA0" w:rsidRPr="00234FA0" w:rsidRDefault="00234FA0" w:rsidP="00234FA0">
      <w:pPr>
        <w:spacing w:line="360" w:lineRule="auto"/>
        <w:jc w:val="both"/>
        <w:rPr>
          <w:szCs w:val="20"/>
          <w:lang w:val="es-MX"/>
        </w:rPr>
      </w:pPr>
      <w:r w:rsidRPr="00234FA0">
        <w:rPr>
          <w:szCs w:val="20"/>
          <w:lang w:val="es-MX"/>
        </w:rPr>
        <w:t xml:space="preserve">Las dimensiones obtuvieron puntajes mayores a 0.850 y menores a 0.950 (véase tabla 1). </w:t>
      </w:r>
    </w:p>
    <w:p w14:paraId="5A48A100" w14:textId="77777777" w:rsidR="00234FA0" w:rsidRPr="00234FA0" w:rsidRDefault="00234FA0" w:rsidP="00234FA0">
      <w:pPr>
        <w:spacing w:line="360" w:lineRule="auto"/>
        <w:jc w:val="both"/>
        <w:rPr>
          <w:szCs w:val="20"/>
          <w:lang w:val="es-MX"/>
        </w:rPr>
      </w:pPr>
    </w:p>
    <w:p w14:paraId="2F556DD8" w14:textId="77777777" w:rsidR="00234FA0" w:rsidRPr="00234FA0" w:rsidRDefault="00234FA0" w:rsidP="00234FA0">
      <w:pPr>
        <w:spacing w:line="360" w:lineRule="auto"/>
        <w:jc w:val="both"/>
        <w:rPr>
          <w:iCs/>
          <w:szCs w:val="20"/>
          <w:lang w:val="es-MX"/>
        </w:rPr>
      </w:pPr>
      <w:r w:rsidRPr="00234FA0">
        <w:rPr>
          <w:iCs/>
          <w:szCs w:val="20"/>
          <w:lang w:val="es-MX"/>
        </w:rPr>
        <w:t xml:space="preserve">Tabla 1. Ajustes de medida de modelo reflectivo de Coeficiente de Innovación (CI). </w:t>
      </w:r>
    </w:p>
    <w:p w14:paraId="7B63C012" w14:textId="77777777" w:rsidR="00234FA0" w:rsidRPr="00234FA0" w:rsidRDefault="00234FA0" w:rsidP="00234FA0">
      <w:pPr>
        <w:spacing w:line="360" w:lineRule="auto"/>
        <w:jc w:val="both"/>
        <w:rPr>
          <w:i/>
          <w:szCs w:val="20"/>
          <w:lang w:val="es-MX"/>
        </w:rPr>
      </w:pPr>
    </w:p>
    <w:tbl>
      <w:tblPr>
        <w:tblW w:w="6805" w:type="dxa"/>
        <w:jc w:val="center"/>
        <w:tblLayout w:type="fixed"/>
        <w:tblCellMar>
          <w:left w:w="70" w:type="dxa"/>
          <w:right w:w="70" w:type="dxa"/>
        </w:tblCellMar>
        <w:tblLook w:val="04A0" w:firstRow="1" w:lastRow="0" w:firstColumn="1" w:lastColumn="0" w:noHBand="0" w:noVBand="1"/>
      </w:tblPr>
      <w:tblGrid>
        <w:gridCol w:w="1704"/>
        <w:gridCol w:w="2266"/>
        <w:gridCol w:w="1559"/>
        <w:gridCol w:w="1276"/>
      </w:tblGrid>
      <w:tr w:rsidR="00234FA0" w:rsidRPr="00234FA0" w14:paraId="4AE77A53" w14:textId="77777777" w:rsidTr="004346DC">
        <w:trPr>
          <w:trHeight w:val="160"/>
          <w:jc w:val="center"/>
        </w:trPr>
        <w:tc>
          <w:tcPr>
            <w:tcW w:w="397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CCC731E" w14:textId="77777777" w:rsidR="00234FA0" w:rsidRPr="00234FA0" w:rsidRDefault="00234FA0" w:rsidP="00234FA0">
            <w:pPr>
              <w:spacing w:line="360" w:lineRule="auto"/>
              <w:jc w:val="both"/>
              <w:rPr>
                <w:b/>
                <w:bCs/>
                <w:szCs w:val="20"/>
                <w:lang w:val="es-MX"/>
              </w:rPr>
            </w:pPr>
            <w:r w:rsidRPr="00234FA0">
              <w:rPr>
                <w:b/>
                <w:bCs/>
                <w:szCs w:val="20"/>
                <w:lang w:val="es-MX"/>
              </w:rPr>
              <w:t>Constructo / Dimensiones</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69140D" w14:textId="77777777" w:rsidR="00234FA0" w:rsidRPr="00234FA0" w:rsidRDefault="00234FA0" w:rsidP="00234FA0">
            <w:pPr>
              <w:spacing w:line="360" w:lineRule="auto"/>
              <w:jc w:val="both"/>
              <w:rPr>
                <w:b/>
                <w:bCs/>
                <w:szCs w:val="20"/>
                <w:lang w:val="es-MX"/>
              </w:rPr>
            </w:pPr>
            <w:r w:rsidRPr="00234FA0">
              <w:rPr>
                <w:b/>
                <w:bCs/>
                <w:szCs w:val="20"/>
                <w:lang w:val="es-MX"/>
              </w:rPr>
              <w:t>Confiabilidad compuesta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32FB81" w14:textId="77777777" w:rsidR="00234FA0" w:rsidRPr="00234FA0" w:rsidRDefault="00234FA0" w:rsidP="00234FA0">
            <w:pPr>
              <w:spacing w:line="360" w:lineRule="auto"/>
              <w:jc w:val="both"/>
              <w:rPr>
                <w:b/>
                <w:bCs/>
                <w:szCs w:val="20"/>
                <w:lang w:val="es-MX"/>
              </w:rPr>
            </w:pPr>
            <w:r w:rsidRPr="00234FA0">
              <w:rPr>
                <w:b/>
                <w:bCs/>
                <w:szCs w:val="20"/>
                <w:lang w:val="es-MX"/>
              </w:rPr>
              <w:t xml:space="preserve"> AVE</w:t>
            </w:r>
          </w:p>
        </w:tc>
      </w:tr>
      <w:tr w:rsidR="00234FA0" w:rsidRPr="00234FA0" w14:paraId="11F17226" w14:textId="77777777" w:rsidTr="004346DC">
        <w:trPr>
          <w:trHeight w:val="160"/>
          <w:jc w:val="center"/>
        </w:trPr>
        <w:tc>
          <w:tcPr>
            <w:tcW w:w="1704" w:type="dxa"/>
            <w:vMerge w:val="restart"/>
            <w:tcBorders>
              <w:top w:val="nil"/>
              <w:left w:val="single" w:sz="4" w:space="0" w:color="auto"/>
              <w:bottom w:val="single" w:sz="4" w:space="0" w:color="auto"/>
              <w:right w:val="single" w:sz="4" w:space="0" w:color="auto"/>
            </w:tcBorders>
            <w:shd w:val="clear" w:color="auto" w:fill="auto"/>
            <w:vAlign w:val="center"/>
            <w:hideMark/>
          </w:tcPr>
          <w:p w14:paraId="2D4CA2BD" w14:textId="77777777" w:rsidR="00234FA0" w:rsidRPr="00234FA0" w:rsidRDefault="00234FA0" w:rsidP="004346DC">
            <w:pPr>
              <w:spacing w:line="360" w:lineRule="auto"/>
              <w:rPr>
                <w:b/>
                <w:bCs/>
                <w:szCs w:val="20"/>
                <w:lang w:val="es-MX"/>
              </w:rPr>
            </w:pPr>
            <w:r w:rsidRPr="00234FA0">
              <w:rPr>
                <w:b/>
                <w:bCs/>
                <w:szCs w:val="20"/>
                <w:lang w:val="es-MX"/>
              </w:rPr>
              <w:t>Coeficiente de Innovación (CI)</w:t>
            </w:r>
          </w:p>
        </w:tc>
        <w:tc>
          <w:tcPr>
            <w:tcW w:w="2266" w:type="dxa"/>
            <w:tcBorders>
              <w:top w:val="nil"/>
              <w:left w:val="nil"/>
              <w:bottom w:val="single" w:sz="4" w:space="0" w:color="auto"/>
              <w:right w:val="single" w:sz="4" w:space="0" w:color="auto"/>
            </w:tcBorders>
            <w:shd w:val="clear" w:color="auto" w:fill="auto"/>
            <w:vAlign w:val="center"/>
            <w:hideMark/>
          </w:tcPr>
          <w:p w14:paraId="700BE54E" w14:textId="77777777" w:rsidR="00234FA0" w:rsidRPr="00234FA0" w:rsidRDefault="00234FA0" w:rsidP="00234FA0">
            <w:pPr>
              <w:spacing w:line="360" w:lineRule="auto"/>
              <w:jc w:val="both"/>
              <w:rPr>
                <w:szCs w:val="20"/>
                <w:lang w:val="es-MX"/>
              </w:rPr>
            </w:pPr>
            <w:r w:rsidRPr="00234FA0">
              <w:rPr>
                <w:szCs w:val="20"/>
                <w:lang w:val="es-MX"/>
              </w:rPr>
              <w:t>Valores (V)</w:t>
            </w:r>
          </w:p>
        </w:tc>
        <w:tc>
          <w:tcPr>
            <w:tcW w:w="1559" w:type="dxa"/>
            <w:tcBorders>
              <w:top w:val="nil"/>
              <w:left w:val="nil"/>
              <w:bottom w:val="single" w:sz="4" w:space="0" w:color="auto"/>
              <w:right w:val="single" w:sz="4" w:space="0" w:color="auto"/>
            </w:tcBorders>
            <w:shd w:val="clear" w:color="auto" w:fill="auto"/>
            <w:noWrap/>
            <w:vAlign w:val="center"/>
            <w:hideMark/>
          </w:tcPr>
          <w:p w14:paraId="1368C777" w14:textId="77777777" w:rsidR="00234FA0" w:rsidRPr="00234FA0" w:rsidRDefault="00234FA0" w:rsidP="00234FA0">
            <w:pPr>
              <w:spacing w:line="360" w:lineRule="auto"/>
              <w:jc w:val="both"/>
              <w:rPr>
                <w:szCs w:val="20"/>
                <w:lang w:val="es-MX"/>
              </w:rPr>
            </w:pPr>
            <w:r w:rsidRPr="00234FA0">
              <w:rPr>
                <w:szCs w:val="20"/>
                <w:lang w:val="es-MX"/>
              </w:rPr>
              <w:t>0.876</w:t>
            </w:r>
          </w:p>
        </w:tc>
        <w:tc>
          <w:tcPr>
            <w:tcW w:w="1276" w:type="dxa"/>
            <w:tcBorders>
              <w:top w:val="nil"/>
              <w:left w:val="nil"/>
              <w:bottom w:val="single" w:sz="4" w:space="0" w:color="auto"/>
              <w:right w:val="single" w:sz="4" w:space="0" w:color="auto"/>
            </w:tcBorders>
            <w:shd w:val="clear" w:color="auto" w:fill="auto"/>
            <w:noWrap/>
            <w:vAlign w:val="center"/>
            <w:hideMark/>
          </w:tcPr>
          <w:p w14:paraId="35B8E9E3" w14:textId="77777777" w:rsidR="00234FA0" w:rsidRPr="00234FA0" w:rsidRDefault="00234FA0" w:rsidP="00234FA0">
            <w:pPr>
              <w:spacing w:line="360" w:lineRule="auto"/>
              <w:jc w:val="both"/>
              <w:rPr>
                <w:szCs w:val="20"/>
                <w:lang w:val="es-MX"/>
              </w:rPr>
            </w:pPr>
            <w:r w:rsidRPr="00234FA0">
              <w:rPr>
                <w:szCs w:val="20"/>
                <w:lang w:val="es-MX"/>
              </w:rPr>
              <w:t>0.586</w:t>
            </w:r>
          </w:p>
        </w:tc>
      </w:tr>
      <w:tr w:rsidR="00234FA0" w:rsidRPr="00234FA0" w14:paraId="1FE9F2A5" w14:textId="77777777" w:rsidTr="004346DC">
        <w:trPr>
          <w:trHeight w:val="294"/>
          <w:jc w:val="center"/>
        </w:trPr>
        <w:tc>
          <w:tcPr>
            <w:tcW w:w="1704" w:type="dxa"/>
            <w:vMerge/>
            <w:tcBorders>
              <w:top w:val="nil"/>
              <w:left w:val="single" w:sz="4" w:space="0" w:color="auto"/>
              <w:bottom w:val="single" w:sz="4" w:space="0" w:color="auto"/>
              <w:right w:val="single" w:sz="4" w:space="0" w:color="auto"/>
            </w:tcBorders>
            <w:vAlign w:val="center"/>
            <w:hideMark/>
          </w:tcPr>
          <w:p w14:paraId="76B4D69F" w14:textId="77777777" w:rsidR="00234FA0" w:rsidRPr="00234FA0" w:rsidRDefault="00234FA0" w:rsidP="00234FA0">
            <w:pPr>
              <w:spacing w:line="360" w:lineRule="auto"/>
              <w:jc w:val="both"/>
              <w:rPr>
                <w:b/>
                <w:bCs/>
                <w:szCs w:val="20"/>
                <w:lang w:val="es-MX"/>
              </w:rPr>
            </w:pPr>
          </w:p>
        </w:tc>
        <w:tc>
          <w:tcPr>
            <w:tcW w:w="2266" w:type="dxa"/>
            <w:tcBorders>
              <w:top w:val="nil"/>
              <w:left w:val="nil"/>
              <w:bottom w:val="single" w:sz="4" w:space="0" w:color="auto"/>
              <w:right w:val="single" w:sz="4" w:space="0" w:color="auto"/>
            </w:tcBorders>
            <w:shd w:val="clear" w:color="auto" w:fill="auto"/>
            <w:vAlign w:val="center"/>
            <w:hideMark/>
          </w:tcPr>
          <w:p w14:paraId="129A8228" w14:textId="77777777" w:rsidR="00234FA0" w:rsidRPr="00234FA0" w:rsidRDefault="00234FA0" w:rsidP="00234FA0">
            <w:pPr>
              <w:spacing w:line="360" w:lineRule="auto"/>
              <w:jc w:val="both"/>
              <w:rPr>
                <w:szCs w:val="20"/>
                <w:lang w:val="es-MX"/>
              </w:rPr>
            </w:pPr>
            <w:r w:rsidRPr="00234FA0">
              <w:rPr>
                <w:szCs w:val="20"/>
                <w:lang w:val="es-MX"/>
              </w:rPr>
              <w:t>Comportamientos (C)</w:t>
            </w:r>
          </w:p>
        </w:tc>
        <w:tc>
          <w:tcPr>
            <w:tcW w:w="1559" w:type="dxa"/>
            <w:tcBorders>
              <w:top w:val="nil"/>
              <w:left w:val="nil"/>
              <w:bottom w:val="single" w:sz="4" w:space="0" w:color="auto"/>
              <w:right w:val="single" w:sz="4" w:space="0" w:color="auto"/>
            </w:tcBorders>
            <w:shd w:val="clear" w:color="auto" w:fill="auto"/>
            <w:noWrap/>
            <w:vAlign w:val="center"/>
            <w:hideMark/>
          </w:tcPr>
          <w:p w14:paraId="4C7FFDB1" w14:textId="77777777" w:rsidR="00234FA0" w:rsidRPr="00234FA0" w:rsidRDefault="00234FA0" w:rsidP="00234FA0">
            <w:pPr>
              <w:spacing w:line="360" w:lineRule="auto"/>
              <w:jc w:val="both"/>
              <w:rPr>
                <w:szCs w:val="20"/>
                <w:lang w:val="es-MX"/>
              </w:rPr>
            </w:pPr>
            <w:r w:rsidRPr="00234FA0">
              <w:rPr>
                <w:szCs w:val="20"/>
                <w:lang w:val="es-MX"/>
              </w:rPr>
              <w:t>0.936</w:t>
            </w:r>
          </w:p>
        </w:tc>
        <w:tc>
          <w:tcPr>
            <w:tcW w:w="1276" w:type="dxa"/>
            <w:tcBorders>
              <w:top w:val="nil"/>
              <w:left w:val="nil"/>
              <w:bottom w:val="single" w:sz="4" w:space="0" w:color="auto"/>
              <w:right w:val="single" w:sz="4" w:space="0" w:color="auto"/>
            </w:tcBorders>
            <w:shd w:val="clear" w:color="auto" w:fill="auto"/>
            <w:noWrap/>
            <w:vAlign w:val="center"/>
            <w:hideMark/>
          </w:tcPr>
          <w:p w14:paraId="65343BE0" w14:textId="77777777" w:rsidR="00234FA0" w:rsidRPr="00234FA0" w:rsidRDefault="00234FA0" w:rsidP="00234FA0">
            <w:pPr>
              <w:spacing w:line="360" w:lineRule="auto"/>
              <w:jc w:val="both"/>
              <w:rPr>
                <w:szCs w:val="20"/>
                <w:lang w:val="es-MX"/>
              </w:rPr>
            </w:pPr>
            <w:r w:rsidRPr="00234FA0">
              <w:rPr>
                <w:szCs w:val="20"/>
                <w:lang w:val="es-MX"/>
              </w:rPr>
              <w:t>0.619</w:t>
            </w:r>
          </w:p>
        </w:tc>
      </w:tr>
      <w:tr w:rsidR="00234FA0" w:rsidRPr="00234FA0" w14:paraId="0DFCFB51" w14:textId="77777777" w:rsidTr="004346DC">
        <w:trPr>
          <w:trHeight w:val="426"/>
          <w:jc w:val="center"/>
        </w:trPr>
        <w:tc>
          <w:tcPr>
            <w:tcW w:w="1704" w:type="dxa"/>
            <w:vMerge/>
            <w:tcBorders>
              <w:top w:val="nil"/>
              <w:left w:val="single" w:sz="4" w:space="0" w:color="auto"/>
              <w:bottom w:val="single" w:sz="4" w:space="0" w:color="auto"/>
              <w:right w:val="single" w:sz="4" w:space="0" w:color="auto"/>
            </w:tcBorders>
            <w:vAlign w:val="center"/>
            <w:hideMark/>
          </w:tcPr>
          <w:p w14:paraId="6D0E577D" w14:textId="77777777" w:rsidR="00234FA0" w:rsidRPr="00234FA0" w:rsidRDefault="00234FA0" w:rsidP="00234FA0">
            <w:pPr>
              <w:spacing w:line="360" w:lineRule="auto"/>
              <w:jc w:val="both"/>
              <w:rPr>
                <w:b/>
                <w:bCs/>
                <w:szCs w:val="20"/>
                <w:lang w:val="es-MX"/>
              </w:rPr>
            </w:pPr>
          </w:p>
        </w:tc>
        <w:tc>
          <w:tcPr>
            <w:tcW w:w="2266" w:type="dxa"/>
            <w:tcBorders>
              <w:top w:val="nil"/>
              <w:left w:val="nil"/>
              <w:bottom w:val="single" w:sz="4" w:space="0" w:color="auto"/>
              <w:right w:val="single" w:sz="4" w:space="0" w:color="auto"/>
            </w:tcBorders>
            <w:shd w:val="clear" w:color="auto" w:fill="auto"/>
            <w:vAlign w:val="center"/>
            <w:hideMark/>
          </w:tcPr>
          <w:p w14:paraId="5A3F556A" w14:textId="77777777" w:rsidR="00234FA0" w:rsidRPr="00234FA0" w:rsidRDefault="00234FA0" w:rsidP="00234FA0">
            <w:pPr>
              <w:spacing w:line="360" w:lineRule="auto"/>
              <w:jc w:val="both"/>
              <w:rPr>
                <w:szCs w:val="20"/>
                <w:lang w:val="es-MX"/>
              </w:rPr>
            </w:pPr>
            <w:r w:rsidRPr="00234FA0">
              <w:rPr>
                <w:szCs w:val="20"/>
                <w:lang w:val="es-MX"/>
              </w:rPr>
              <w:t>Clima Laboral (CL)</w:t>
            </w:r>
          </w:p>
        </w:tc>
        <w:tc>
          <w:tcPr>
            <w:tcW w:w="1559" w:type="dxa"/>
            <w:tcBorders>
              <w:top w:val="nil"/>
              <w:left w:val="nil"/>
              <w:bottom w:val="single" w:sz="4" w:space="0" w:color="auto"/>
              <w:right w:val="single" w:sz="4" w:space="0" w:color="auto"/>
            </w:tcBorders>
            <w:shd w:val="clear" w:color="auto" w:fill="auto"/>
            <w:noWrap/>
            <w:vAlign w:val="center"/>
            <w:hideMark/>
          </w:tcPr>
          <w:p w14:paraId="4ABC98DA" w14:textId="77777777" w:rsidR="00234FA0" w:rsidRPr="00234FA0" w:rsidRDefault="00234FA0" w:rsidP="00234FA0">
            <w:pPr>
              <w:spacing w:line="360" w:lineRule="auto"/>
              <w:jc w:val="both"/>
              <w:rPr>
                <w:szCs w:val="20"/>
                <w:lang w:val="es-MX"/>
              </w:rPr>
            </w:pPr>
            <w:r w:rsidRPr="00234FA0">
              <w:rPr>
                <w:szCs w:val="20"/>
                <w:lang w:val="es-MX"/>
              </w:rPr>
              <w:t>0.903</w:t>
            </w:r>
          </w:p>
        </w:tc>
        <w:tc>
          <w:tcPr>
            <w:tcW w:w="1276" w:type="dxa"/>
            <w:tcBorders>
              <w:top w:val="nil"/>
              <w:left w:val="nil"/>
              <w:bottom w:val="single" w:sz="4" w:space="0" w:color="auto"/>
              <w:right w:val="single" w:sz="4" w:space="0" w:color="auto"/>
            </w:tcBorders>
            <w:shd w:val="clear" w:color="auto" w:fill="auto"/>
            <w:noWrap/>
            <w:vAlign w:val="center"/>
            <w:hideMark/>
          </w:tcPr>
          <w:p w14:paraId="4040B8C4" w14:textId="77777777" w:rsidR="00234FA0" w:rsidRPr="00234FA0" w:rsidRDefault="00234FA0" w:rsidP="00234FA0">
            <w:pPr>
              <w:spacing w:line="360" w:lineRule="auto"/>
              <w:jc w:val="both"/>
              <w:rPr>
                <w:szCs w:val="20"/>
                <w:lang w:val="es-MX"/>
              </w:rPr>
            </w:pPr>
            <w:r w:rsidRPr="00234FA0">
              <w:rPr>
                <w:szCs w:val="20"/>
                <w:lang w:val="es-MX"/>
              </w:rPr>
              <w:t>0.608</w:t>
            </w:r>
          </w:p>
        </w:tc>
      </w:tr>
      <w:tr w:rsidR="00234FA0" w:rsidRPr="00234FA0" w14:paraId="05CB0553" w14:textId="77777777" w:rsidTr="004346DC">
        <w:trPr>
          <w:trHeight w:val="404"/>
          <w:jc w:val="center"/>
        </w:trPr>
        <w:tc>
          <w:tcPr>
            <w:tcW w:w="1704" w:type="dxa"/>
            <w:vMerge/>
            <w:tcBorders>
              <w:top w:val="nil"/>
              <w:left w:val="single" w:sz="4" w:space="0" w:color="auto"/>
              <w:bottom w:val="single" w:sz="4" w:space="0" w:color="auto"/>
              <w:right w:val="single" w:sz="4" w:space="0" w:color="auto"/>
            </w:tcBorders>
            <w:vAlign w:val="center"/>
            <w:hideMark/>
          </w:tcPr>
          <w:p w14:paraId="3D420A2C" w14:textId="77777777" w:rsidR="00234FA0" w:rsidRPr="00234FA0" w:rsidRDefault="00234FA0" w:rsidP="00234FA0">
            <w:pPr>
              <w:spacing w:line="360" w:lineRule="auto"/>
              <w:jc w:val="both"/>
              <w:rPr>
                <w:b/>
                <w:bCs/>
                <w:szCs w:val="20"/>
                <w:lang w:val="es-MX"/>
              </w:rPr>
            </w:pPr>
          </w:p>
        </w:tc>
        <w:tc>
          <w:tcPr>
            <w:tcW w:w="2266" w:type="dxa"/>
            <w:tcBorders>
              <w:top w:val="nil"/>
              <w:left w:val="nil"/>
              <w:bottom w:val="single" w:sz="4" w:space="0" w:color="auto"/>
              <w:right w:val="single" w:sz="4" w:space="0" w:color="auto"/>
            </w:tcBorders>
            <w:shd w:val="clear" w:color="auto" w:fill="auto"/>
            <w:vAlign w:val="center"/>
            <w:hideMark/>
          </w:tcPr>
          <w:p w14:paraId="298D1938" w14:textId="77777777" w:rsidR="00234FA0" w:rsidRPr="00234FA0" w:rsidRDefault="00234FA0" w:rsidP="00234FA0">
            <w:pPr>
              <w:spacing w:line="360" w:lineRule="auto"/>
              <w:jc w:val="both"/>
              <w:rPr>
                <w:szCs w:val="20"/>
                <w:lang w:val="es-MX"/>
              </w:rPr>
            </w:pPr>
            <w:r w:rsidRPr="00234FA0">
              <w:rPr>
                <w:szCs w:val="20"/>
                <w:lang w:val="es-MX"/>
              </w:rPr>
              <w:t>Recursos (R)</w:t>
            </w:r>
          </w:p>
        </w:tc>
        <w:tc>
          <w:tcPr>
            <w:tcW w:w="1559" w:type="dxa"/>
            <w:tcBorders>
              <w:top w:val="nil"/>
              <w:left w:val="nil"/>
              <w:bottom w:val="single" w:sz="4" w:space="0" w:color="auto"/>
              <w:right w:val="single" w:sz="4" w:space="0" w:color="auto"/>
            </w:tcBorders>
            <w:shd w:val="clear" w:color="auto" w:fill="auto"/>
            <w:noWrap/>
            <w:vAlign w:val="center"/>
            <w:hideMark/>
          </w:tcPr>
          <w:p w14:paraId="250D4E04" w14:textId="77777777" w:rsidR="00234FA0" w:rsidRPr="00234FA0" w:rsidRDefault="00234FA0" w:rsidP="00234FA0">
            <w:pPr>
              <w:spacing w:line="360" w:lineRule="auto"/>
              <w:jc w:val="both"/>
              <w:rPr>
                <w:szCs w:val="20"/>
                <w:lang w:val="es-MX"/>
              </w:rPr>
            </w:pPr>
            <w:r w:rsidRPr="00234FA0">
              <w:rPr>
                <w:szCs w:val="20"/>
                <w:lang w:val="es-MX"/>
              </w:rPr>
              <w:t>0.925</w:t>
            </w:r>
          </w:p>
        </w:tc>
        <w:tc>
          <w:tcPr>
            <w:tcW w:w="1276" w:type="dxa"/>
            <w:tcBorders>
              <w:top w:val="nil"/>
              <w:left w:val="nil"/>
              <w:bottom w:val="single" w:sz="4" w:space="0" w:color="auto"/>
              <w:right w:val="single" w:sz="4" w:space="0" w:color="auto"/>
            </w:tcBorders>
            <w:shd w:val="clear" w:color="auto" w:fill="auto"/>
            <w:noWrap/>
            <w:vAlign w:val="center"/>
            <w:hideMark/>
          </w:tcPr>
          <w:p w14:paraId="0A76ACAC" w14:textId="77777777" w:rsidR="00234FA0" w:rsidRPr="00234FA0" w:rsidRDefault="00234FA0" w:rsidP="00234FA0">
            <w:pPr>
              <w:spacing w:line="360" w:lineRule="auto"/>
              <w:jc w:val="both"/>
              <w:rPr>
                <w:szCs w:val="20"/>
                <w:lang w:val="es-MX"/>
              </w:rPr>
            </w:pPr>
            <w:r w:rsidRPr="00234FA0">
              <w:rPr>
                <w:szCs w:val="20"/>
                <w:lang w:val="es-MX"/>
              </w:rPr>
              <w:t>0.577</w:t>
            </w:r>
          </w:p>
        </w:tc>
      </w:tr>
      <w:tr w:rsidR="00234FA0" w:rsidRPr="00234FA0" w14:paraId="63F9E591" w14:textId="77777777" w:rsidTr="004346DC">
        <w:trPr>
          <w:trHeight w:val="423"/>
          <w:jc w:val="center"/>
        </w:trPr>
        <w:tc>
          <w:tcPr>
            <w:tcW w:w="1704" w:type="dxa"/>
            <w:vMerge/>
            <w:tcBorders>
              <w:top w:val="nil"/>
              <w:left w:val="single" w:sz="4" w:space="0" w:color="auto"/>
              <w:bottom w:val="single" w:sz="4" w:space="0" w:color="auto"/>
              <w:right w:val="single" w:sz="4" w:space="0" w:color="auto"/>
            </w:tcBorders>
            <w:vAlign w:val="center"/>
            <w:hideMark/>
          </w:tcPr>
          <w:p w14:paraId="5897F587" w14:textId="77777777" w:rsidR="00234FA0" w:rsidRPr="00234FA0" w:rsidRDefault="00234FA0" w:rsidP="00234FA0">
            <w:pPr>
              <w:spacing w:line="360" w:lineRule="auto"/>
              <w:jc w:val="both"/>
              <w:rPr>
                <w:b/>
                <w:bCs/>
                <w:szCs w:val="20"/>
                <w:lang w:val="es-MX"/>
              </w:rPr>
            </w:pPr>
          </w:p>
        </w:tc>
        <w:tc>
          <w:tcPr>
            <w:tcW w:w="2266" w:type="dxa"/>
            <w:tcBorders>
              <w:top w:val="nil"/>
              <w:left w:val="nil"/>
              <w:bottom w:val="single" w:sz="4" w:space="0" w:color="auto"/>
              <w:right w:val="single" w:sz="4" w:space="0" w:color="auto"/>
            </w:tcBorders>
            <w:shd w:val="clear" w:color="auto" w:fill="auto"/>
            <w:vAlign w:val="center"/>
            <w:hideMark/>
          </w:tcPr>
          <w:p w14:paraId="58B3149B" w14:textId="77777777" w:rsidR="00234FA0" w:rsidRPr="00234FA0" w:rsidRDefault="00234FA0" w:rsidP="00234FA0">
            <w:pPr>
              <w:spacing w:line="360" w:lineRule="auto"/>
              <w:jc w:val="both"/>
              <w:rPr>
                <w:szCs w:val="20"/>
                <w:lang w:val="es-MX"/>
              </w:rPr>
            </w:pPr>
            <w:r w:rsidRPr="00234FA0">
              <w:rPr>
                <w:szCs w:val="20"/>
                <w:lang w:val="es-MX"/>
              </w:rPr>
              <w:t>Procesos (P)</w:t>
            </w:r>
          </w:p>
        </w:tc>
        <w:tc>
          <w:tcPr>
            <w:tcW w:w="1559" w:type="dxa"/>
            <w:tcBorders>
              <w:top w:val="nil"/>
              <w:left w:val="nil"/>
              <w:bottom w:val="single" w:sz="4" w:space="0" w:color="auto"/>
              <w:right w:val="single" w:sz="4" w:space="0" w:color="auto"/>
            </w:tcBorders>
            <w:shd w:val="clear" w:color="auto" w:fill="auto"/>
            <w:noWrap/>
            <w:vAlign w:val="center"/>
            <w:hideMark/>
          </w:tcPr>
          <w:p w14:paraId="692A72F8" w14:textId="77777777" w:rsidR="00234FA0" w:rsidRPr="00234FA0" w:rsidRDefault="00234FA0" w:rsidP="00234FA0">
            <w:pPr>
              <w:spacing w:line="360" w:lineRule="auto"/>
              <w:jc w:val="both"/>
              <w:rPr>
                <w:szCs w:val="20"/>
                <w:lang w:val="es-MX"/>
              </w:rPr>
            </w:pPr>
            <w:r w:rsidRPr="00234FA0">
              <w:rPr>
                <w:szCs w:val="20"/>
                <w:lang w:val="es-MX"/>
              </w:rPr>
              <w:t>0.921</w:t>
            </w:r>
          </w:p>
        </w:tc>
        <w:tc>
          <w:tcPr>
            <w:tcW w:w="1276" w:type="dxa"/>
            <w:tcBorders>
              <w:top w:val="nil"/>
              <w:left w:val="nil"/>
              <w:bottom w:val="single" w:sz="4" w:space="0" w:color="auto"/>
              <w:right w:val="single" w:sz="4" w:space="0" w:color="auto"/>
            </w:tcBorders>
            <w:shd w:val="clear" w:color="auto" w:fill="auto"/>
            <w:noWrap/>
            <w:vAlign w:val="center"/>
            <w:hideMark/>
          </w:tcPr>
          <w:p w14:paraId="1C898D2E" w14:textId="77777777" w:rsidR="00234FA0" w:rsidRPr="00234FA0" w:rsidRDefault="00234FA0" w:rsidP="00234FA0">
            <w:pPr>
              <w:spacing w:line="360" w:lineRule="auto"/>
              <w:jc w:val="both"/>
              <w:rPr>
                <w:szCs w:val="20"/>
                <w:lang w:val="es-MX"/>
              </w:rPr>
            </w:pPr>
            <w:r w:rsidRPr="00234FA0">
              <w:rPr>
                <w:szCs w:val="20"/>
                <w:lang w:val="es-MX"/>
              </w:rPr>
              <w:t>0.595</w:t>
            </w:r>
          </w:p>
        </w:tc>
      </w:tr>
      <w:tr w:rsidR="00234FA0" w:rsidRPr="00234FA0" w14:paraId="2C88F4FF" w14:textId="77777777" w:rsidTr="004346DC">
        <w:trPr>
          <w:trHeight w:val="416"/>
          <w:jc w:val="center"/>
        </w:trPr>
        <w:tc>
          <w:tcPr>
            <w:tcW w:w="1704" w:type="dxa"/>
            <w:vMerge/>
            <w:tcBorders>
              <w:top w:val="nil"/>
              <w:left w:val="single" w:sz="4" w:space="0" w:color="auto"/>
              <w:bottom w:val="single" w:sz="4" w:space="0" w:color="auto"/>
              <w:right w:val="single" w:sz="4" w:space="0" w:color="auto"/>
            </w:tcBorders>
            <w:vAlign w:val="center"/>
            <w:hideMark/>
          </w:tcPr>
          <w:p w14:paraId="04E8CCF0" w14:textId="77777777" w:rsidR="00234FA0" w:rsidRPr="00234FA0" w:rsidRDefault="00234FA0" w:rsidP="00234FA0">
            <w:pPr>
              <w:spacing w:line="360" w:lineRule="auto"/>
              <w:jc w:val="both"/>
              <w:rPr>
                <w:b/>
                <w:bCs/>
                <w:szCs w:val="20"/>
                <w:lang w:val="es-MX"/>
              </w:rPr>
            </w:pPr>
          </w:p>
        </w:tc>
        <w:tc>
          <w:tcPr>
            <w:tcW w:w="2266" w:type="dxa"/>
            <w:tcBorders>
              <w:top w:val="nil"/>
              <w:left w:val="nil"/>
              <w:bottom w:val="single" w:sz="4" w:space="0" w:color="auto"/>
              <w:right w:val="single" w:sz="4" w:space="0" w:color="auto"/>
            </w:tcBorders>
            <w:shd w:val="clear" w:color="auto" w:fill="auto"/>
            <w:vAlign w:val="center"/>
            <w:hideMark/>
          </w:tcPr>
          <w:p w14:paraId="720ABDD2" w14:textId="77777777" w:rsidR="00234FA0" w:rsidRPr="00234FA0" w:rsidRDefault="00234FA0" w:rsidP="00234FA0">
            <w:pPr>
              <w:spacing w:line="360" w:lineRule="auto"/>
              <w:jc w:val="both"/>
              <w:rPr>
                <w:szCs w:val="20"/>
                <w:lang w:val="es-MX"/>
              </w:rPr>
            </w:pPr>
            <w:r w:rsidRPr="00234FA0">
              <w:rPr>
                <w:szCs w:val="20"/>
                <w:lang w:val="es-MX"/>
              </w:rPr>
              <w:t>Éxitos (E)</w:t>
            </w:r>
          </w:p>
        </w:tc>
        <w:tc>
          <w:tcPr>
            <w:tcW w:w="1559" w:type="dxa"/>
            <w:tcBorders>
              <w:top w:val="nil"/>
              <w:left w:val="nil"/>
              <w:bottom w:val="single" w:sz="4" w:space="0" w:color="auto"/>
              <w:right w:val="single" w:sz="4" w:space="0" w:color="auto"/>
            </w:tcBorders>
            <w:shd w:val="clear" w:color="auto" w:fill="auto"/>
            <w:noWrap/>
            <w:vAlign w:val="center"/>
            <w:hideMark/>
          </w:tcPr>
          <w:p w14:paraId="212108B1" w14:textId="77777777" w:rsidR="00234FA0" w:rsidRPr="00234FA0" w:rsidRDefault="00234FA0" w:rsidP="00234FA0">
            <w:pPr>
              <w:spacing w:line="360" w:lineRule="auto"/>
              <w:jc w:val="both"/>
              <w:rPr>
                <w:szCs w:val="20"/>
                <w:lang w:val="es-MX"/>
              </w:rPr>
            </w:pPr>
            <w:r w:rsidRPr="00234FA0">
              <w:rPr>
                <w:szCs w:val="20"/>
                <w:lang w:val="es-MX"/>
              </w:rPr>
              <w:t>0.934</w:t>
            </w:r>
          </w:p>
        </w:tc>
        <w:tc>
          <w:tcPr>
            <w:tcW w:w="1276" w:type="dxa"/>
            <w:tcBorders>
              <w:top w:val="nil"/>
              <w:left w:val="nil"/>
              <w:bottom w:val="single" w:sz="4" w:space="0" w:color="auto"/>
              <w:right w:val="single" w:sz="4" w:space="0" w:color="auto"/>
            </w:tcBorders>
            <w:shd w:val="clear" w:color="auto" w:fill="auto"/>
            <w:noWrap/>
            <w:vAlign w:val="center"/>
            <w:hideMark/>
          </w:tcPr>
          <w:p w14:paraId="0B573B41" w14:textId="77777777" w:rsidR="00234FA0" w:rsidRPr="00234FA0" w:rsidRDefault="00234FA0" w:rsidP="00234FA0">
            <w:pPr>
              <w:spacing w:line="360" w:lineRule="auto"/>
              <w:jc w:val="both"/>
              <w:rPr>
                <w:szCs w:val="20"/>
                <w:lang w:val="es-MX"/>
              </w:rPr>
            </w:pPr>
            <w:r w:rsidRPr="00234FA0">
              <w:rPr>
                <w:szCs w:val="20"/>
                <w:lang w:val="es-MX"/>
              </w:rPr>
              <w:t>0.638</w:t>
            </w:r>
          </w:p>
        </w:tc>
      </w:tr>
    </w:tbl>
    <w:p w14:paraId="1D2B9FF3" w14:textId="77777777" w:rsidR="00234FA0" w:rsidRPr="00234FA0" w:rsidRDefault="00234FA0" w:rsidP="00234FA0">
      <w:pPr>
        <w:spacing w:line="360" w:lineRule="auto"/>
        <w:jc w:val="both"/>
        <w:rPr>
          <w:szCs w:val="20"/>
          <w:lang w:val="es-MX"/>
        </w:rPr>
      </w:pPr>
    </w:p>
    <w:p w14:paraId="2DA3E16E" w14:textId="77777777" w:rsidR="00234FA0" w:rsidRPr="00234FA0" w:rsidRDefault="00234FA0" w:rsidP="00234FA0">
      <w:pPr>
        <w:spacing w:line="360" w:lineRule="auto"/>
        <w:jc w:val="both"/>
        <w:rPr>
          <w:szCs w:val="20"/>
          <w:lang w:val="es-MX"/>
        </w:rPr>
      </w:pPr>
      <w:r w:rsidRPr="00234FA0">
        <w:rPr>
          <w:szCs w:val="20"/>
          <w:lang w:val="es-MX"/>
        </w:rPr>
        <w:t>Fuente: Elaboración propia a partir de la información obtenida por SmartPLS</w:t>
      </w:r>
      <w:r w:rsidRPr="00234FA0">
        <w:rPr>
          <w:i/>
          <w:iCs/>
          <w:szCs w:val="20"/>
          <w:lang w:val="es-MX"/>
        </w:rPr>
        <w:t>®</w:t>
      </w:r>
    </w:p>
    <w:p w14:paraId="030BFCA0" w14:textId="77777777" w:rsidR="00234FA0" w:rsidRPr="00234FA0" w:rsidRDefault="00234FA0" w:rsidP="00234FA0">
      <w:pPr>
        <w:spacing w:line="360" w:lineRule="auto"/>
        <w:jc w:val="both"/>
        <w:rPr>
          <w:szCs w:val="20"/>
          <w:lang w:val="es-MX"/>
        </w:rPr>
      </w:pPr>
    </w:p>
    <w:p w14:paraId="2AB93933" w14:textId="77777777" w:rsidR="00234FA0" w:rsidRPr="00234FA0" w:rsidRDefault="00234FA0" w:rsidP="004346DC">
      <w:pPr>
        <w:spacing w:line="360" w:lineRule="auto"/>
        <w:ind w:firstLine="567"/>
        <w:jc w:val="both"/>
        <w:rPr>
          <w:szCs w:val="20"/>
          <w:lang w:val="es-MX"/>
        </w:rPr>
      </w:pPr>
      <w:r w:rsidRPr="00234FA0">
        <w:rPr>
          <w:szCs w:val="20"/>
          <w:lang w:val="es-MX"/>
        </w:rPr>
        <w:t xml:space="preserve">Lo siguiente es en proceso de validación es analizar  la </w:t>
      </w:r>
      <w:r w:rsidRPr="00234FA0">
        <w:rPr>
          <w:i/>
          <w:iCs/>
          <w:szCs w:val="20"/>
          <w:lang w:val="es-MX"/>
        </w:rPr>
        <w:t>Validez Convergente</w:t>
      </w:r>
      <w:r w:rsidRPr="00234FA0">
        <w:rPr>
          <w:szCs w:val="20"/>
          <w:lang w:val="es-MX"/>
        </w:rPr>
        <w:t xml:space="preserve">, cual esta determinada por la Varianza Promedio Extraída (AVE). Este indicador es calculado por la media del cuadrado de las cargas de todos los indicadores asociados con ese constructo </w:t>
      </w:r>
      <w:r w:rsidRPr="00234FA0">
        <w:rPr>
          <w:szCs w:val="20"/>
          <w:lang w:val="es-MX"/>
        </w:rPr>
        <w:fldChar w:fldCharType="begin" w:fldLock="1"/>
      </w:r>
      <w:r w:rsidRPr="00234FA0">
        <w:rPr>
          <w:szCs w:val="20"/>
          <w:lang w:val="es-MX"/>
        </w:rPr>
        <w:instrText>ADDIN CSL_CITATION {"citationItems":[{"id":"ITEM-1","itemData":{"DOI":"10.1016/j.jfbs.2014.01.002","ISBN":"1877-8585","ISSN":"18778585","abstract":"Structural equation modeling (SEM) has become a mainstream method in many fields of business research, but its use in family business research remains in its infancy. This lag in SEM's application holds especially true for partial least squares SEM (PLS-SEM), an alternative to covariance-based SEM, which provides researchers with more flexibility in terms of data requirements, model complexity and relationship specification. This article draws attention to PLS-SEM as an opportunity to advance the development and testing of theory in family business research by providing a non-technical introduction into the basic concepts and issues of PLS-SEM, bearing the needs of potential users in mind. To this end, a systematic procedure for PLS-SEM results evaluation is presented and applied to an annotated example. The article also illustrates the analysis of mediating effects, which researchers are increasingly testing in their models. © 2014 Elsevier Ltd.","author":[{"dropping-particle":"","family":"Sarstedt","given":"Marko","non-dropping-particle":"","parse-names":false,"suffix":""},{"dropping-particle":"","family":"Ringle","given":"Christian M.","non-dropping-particle":"","parse-names":false,"suffix":""},{"dropping-particle":"","family":"Smith","given":"Donna","non-dropping-particle":"","parse-names":false,"suffix":""},{"dropping-particle":"","family":"Reams","given":"Russell","non-dropping-particle":"","parse-names":false,"suffix":""},{"dropping-particle":"","family":"Hair","given":"Joseph F.","non-dropping-particle":"","parse-names":false,"suffix":""}],"container-title":"Journal of Family Business Strategy","id":"ITEM-1","issue":"1","issued":{"date-parts":[["2014"]]},"page":"105-115","publisher":"Elsevier Ltd","title":"Partial least squares structural equation modeling (PLS-SEM): A useful tool for family business researchers","type":"article-journal","volume":"5"},"uris":["http://www.mendeley.com/documents/?uuid=3a27171e-4fbf-4f5a-a02c-8e93b2690caa"]}],"mendeley":{"formattedCitation":"(Sarstedt et al., 2014)","plainTextFormattedCitation":"(Sarstedt et al., 2014)","previouslyFormattedCitation":"(Sarstedt et al., 2014)"},"properties":{"noteIndex":0},"schema":"https://github.com/citation-style-language/schema/raw/master/csl-citation.json"}</w:instrText>
      </w:r>
      <w:r w:rsidRPr="00234FA0">
        <w:rPr>
          <w:szCs w:val="20"/>
          <w:lang w:val="es-MX"/>
        </w:rPr>
        <w:fldChar w:fldCharType="separate"/>
      </w:r>
      <w:r w:rsidRPr="00234FA0">
        <w:rPr>
          <w:szCs w:val="20"/>
          <w:lang w:val="es-MX"/>
        </w:rPr>
        <w:t>(Sarstedt et al., 2014)</w:t>
      </w:r>
      <w:r w:rsidRPr="00234FA0">
        <w:rPr>
          <w:szCs w:val="20"/>
        </w:rPr>
        <w:fldChar w:fldCharType="end"/>
      </w:r>
      <w:r w:rsidRPr="00234FA0">
        <w:rPr>
          <w:szCs w:val="20"/>
          <w:lang w:val="es-MX"/>
        </w:rPr>
        <w:t xml:space="preserve">. Un AVE aceptable corresponde </w:t>
      </w:r>
      <w:r w:rsidRPr="00234FA0">
        <w:rPr>
          <w:i/>
          <w:iCs/>
          <w:szCs w:val="20"/>
          <w:lang w:val="es-MX"/>
        </w:rPr>
        <w:t>a 0.500 o mayor</w:t>
      </w:r>
      <w:r w:rsidRPr="00234FA0">
        <w:rPr>
          <w:szCs w:val="20"/>
          <w:lang w:val="es-MX"/>
        </w:rPr>
        <w:t xml:space="preserve"> (véase tabla 1), lo cual en el Modelo propuesto se cumple. </w:t>
      </w:r>
    </w:p>
    <w:p w14:paraId="1ED41C97" w14:textId="77777777" w:rsidR="00234FA0" w:rsidRPr="00234FA0" w:rsidRDefault="00234FA0" w:rsidP="00234FA0">
      <w:pPr>
        <w:spacing w:line="360" w:lineRule="auto"/>
        <w:jc w:val="both"/>
        <w:rPr>
          <w:szCs w:val="20"/>
          <w:lang w:val="es-MX"/>
        </w:rPr>
      </w:pPr>
    </w:p>
    <w:p w14:paraId="4A599623" w14:textId="77777777" w:rsidR="00234FA0" w:rsidRPr="00234FA0" w:rsidRDefault="00234FA0" w:rsidP="004346DC">
      <w:pPr>
        <w:spacing w:line="360" w:lineRule="auto"/>
        <w:ind w:firstLine="567"/>
        <w:jc w:val="both"/>
        <w:rPr>
          <w:szCs w:val="20"/>
          <w:lang w:val="es-MX"/>
        </w:rPr>
      </w:pPr>
      <w:r w:rsidRPr="00234FA0">
        <w:rPr>
          <w:szCs w:val="20"/>
          <w:lang w:val="es-MX"/>
        </w:rPr>
        <w:t xml:space="preserve">Posterior de las anteriores pruebas del modelo, es necesario determinar la </w:t>
      </w:r>
      <w:r w:rsidRPr="00234FA0">
        <w:rPr>
          <w:i/>
          <w:iCs/>
          <w:szCs w:val="20"/>
          <w:lang w:val="es-MX"/>
        </w:rPr>
        <w:t>Validez Discriminante</w:t>
      </w:r>
      <w:r w:rsidRPr="00234FA0">
        <w:rPr>
          <w:szCs w:val="20"/>
          <w:lang w:val="es-MX"/>
        </w:rPr>
        <w:t xml:space="preserve">. Lo anterior determina que tan distinto es un constructo de otros en el modelo. La forma más conservadora de hacerlo es a través del criterio de </w:t>
      </w:r>
      <w:r w:rsidRPr="00234FA0">
        <w:rPr>
          <w:i/>
          <w:iCs/>
          <w:szCs w:val="20"/>
          <w:lang w:val="es-MX"/>
        </w:rPr>
        <w:t>Fornell-Larcker</w:t>
      </w:r>
      <w:r w:rsidRPr="00234FA0">
        <w:rPr>
          <w:szCs w:val="20"/>
          <w:lang w:val="es-MX"/>
        </w:rPr>
        <w:t xml:space="preserve"> </w:t>
      </w:r>
      <w:r w:rsidRPr="00234FA0">
        <w:rPr>
          <w:szCs w:val="20"/>
          <w:lang w:val="es-MX"/>
        </w:rPr>
        <w:fldChar w:fldCharType="begin" w:fldLock="1"/>
      </w:r>
      <w:r w:rsidRPr="00234FA0">
        <w:rPr>
          <w:szCs w:val="20"/>
          <w:lang w:val="es-MX"/>
        </w:rPr>
        <w:instrText>ADDIN CSL_CITATION {"citationItems":[{"id":"ITEM-1","itemData":{"DOI":"10.1108/EBR-10-2013-0128","ISBN":"10.1108/EBR-10-2013-0128","ISSN":"0955-534X","PMID":"42012058","abstract":"Purpose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attention.","author":[{"dropping-particle":"","family":"Hair","given":"Joseph F.","non-dropping-particle":"","parse-names":false,"suffix":""},{"dropping-particle":"","family":"Sarstedt","given":"Marko","non-dropping-particle":"","parse-names":false,"suffix":""},{"dropping-particle":"","family":"Hopkins","given":"Lucas","non-dropping-particle":"","parse-names":false,"suffix":""},{"dropping-particle":"","family":"G. Kuppelwieser","given":"Volker","non-dropping-particle":"","parse-names":false,"suffix":""},{"dropping-particle":"","family":"Kuppelwieser","given":"Volker G.","non-dropping-particle":"","parse-names":false,"suffix":""},{"dropping-particle":"","family":"G. Kuppelwieser","given":"Volker","non-dropping-particle":"","parse-names":false,"suffix":""}],"container-title":"European Business Review","id":"ITEM-1","issue":"2","issued":{"date-parts":[["2014"]]},"page":"106-121","title":"Partial least squares structural equation modeling (PLS-SEM)","type":"article-journal","volume":"26"},"uris":["http://www.mendeley.com/documents/?uuid=2676cae3-40c5-4d5c-853f-3fd19e0bdebe"]}],"mendeley":{"formattedCitation":"(Hair et al., 2014)","plainTextFormattedCitation":"(Hair et al., 2014)","previouslyFormattedCitation":"(Hair et al., 2014)"},"properties":{"noteIndex":0},"schema":"https://github.com/citation-style-language/schema/raw/master/csl-citation.json"}</w:instrText>
      </w:r>
      <w:r w:rsidRPr="00234FA0">
        <w:rPr>
          <w:szCs w:val="20"/>
          <w:lang w:val="es-MX"/>
        </w:rPr>
        <w:fldChar w:fldCharType="separate"/>
      </w:r>
      <w:r w:rsidRPr="00234FA0">
        <w:rPr>
          <w:szCs w:val="20"/>
          <w:lang w:val="es-MX"/>
        </w:rPr>
        <w:t>(Hair et al., 2014)</w:t>
      </w:r>
      <w:r w:rsidRPr="00234FA0">
        <w:rPr>
          <w:szCs w:val="20"/>
        </w:rPr>
        <w:fldChar w:fldCharType="end"/>
      </w:r>
      <w:r w:rsidRPr="00234FA0">
        <w:rPr>
          <w:szCs w:val="20"/>
          <w:lang w:val="es-MX"/>
        </w:rPr>
        <w:t xml:space="preserve"> (véase Tabla 2).</w:t>
      </w:r>
    </w:p>
    <w:p w14:paraId="0C4E6ECC" w14:textId="77777777" w:rsidR="00234FA0" w:rsidRPr="00234FA0" w:rsidRDefault="00234FA0" w:rsidP="00234FA0">
      <w:pPr>
        <w:spacing w:line="360" w:lineRule="auto"/>
        <w:jc w:val="both"/>
        <w:rPr>
          <w:szCs w:val="20"/>
          <w:lang w:val="es-MX"/>
        </w:rPr>
      </w:pPr>
    </w:p>
    <w:p w14:paraId="37FD5044" w14:textId="77777777" w:rsidR="00234FA0" w:rsidRPr="00234FA0" w:rsidRDefault="00234FA0" w:rsidP="00234FA0">
      <w:pPr>
        <w:spacing w:line="360" w:lineRule="auto"/>
        <w:jc w:val="both"/>
        <w:rPr>
          <w:iCs/>
          <w:szCs w:val="20"/>
          <w:lang w:val="es-MX"/>
        </w:rPr>
      </w:pPr>
      <w:r w:rsidRPr="00234FA0">
        <w:rPr>
          <w:iCs/>
          <w:szCs w:val="20"/>
          <w:lang w:val="es-MX"/>
        </w:rPr>
        <w:t>Tabla 2. Criterio de Fornell-Larcker.</w:t>
      </w:r>
    </w:p>
    <w:p w14:paraId="0BFD1779" w14:textId="77777777" w:rsidR="00234FA0" w:rsidRPr="00234FA0" w:rsidRDefault="00234FA0" w:rsidP="00234FA0">
      <w:pPr>
        <w:spacing w:line="360" w:lineRule="auto"/>
        <w:jc w:val="both"/>
        <w:rPr>
          <w:iCs/>
          <w:szCs w:val="20"/>
          <w:lang w:val="es-MX"/>
        </w:rPr>
      </w:pPr>
    </w:p>
    <w:tbl>
      <w:tblPr>
        <w:tblStyle w:val="Tablanormal5"/>
        <w:tblW w:w="3807" w:type="dxa"/>
        <w:jc w:val="center"/>
        <w:tblLook w:val="04A0" w:firstRow="1" w:lastRow="0" w:firstColumn="1" w:lastColumn="0" w:noHBand="0" w:noVBand="1"/>
      </w:tblPr>
      <w:tblGrid>
        <w:gridCol w:w="523"/>
        <w:gridCol w:w="756"/>
        <w:gridCol w:w="756"/>
        <w:gridCol w:w="756"/>
        <w:gridCol w:w="756"/>
        <w:gridCol w:w="756"/>
        <w:gridCol w:w="756"/>
      </w:tblGrid>
      <w:tr w:rsidR="00234FA0" w:rsidRPr="00234FA0" w14:paraId="35B0C780" w14:textId="77777777" w:rsidTr="00D31F9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100" w:firstRow="0" w:lastRow="0" w:firstColumn="1" w:lastColumn="0" w:oddVBand="0" w:evenVBand="0" w:oddHBand="0" w:evenHBand="0" w:firstRowFirstColumn="1" w:firstRowLastColumn="0" w:lastRowFirstColumn="0" w:lastRowLastColumn="0"/>
            <w:tcW w:w="435" w:type="dxa"/>
            <w:noWrap/>
            <w:hideMark/>
          </w:tcPr>
          <w:p w14:paraId="077A3D79" w14:textId="77777777" w:rsidR="00234FA0" w:rsidRPr="00234FA0" w:rsidRDefault="00234FA0" w:rsidP="00234FA0">
            <w:pPr>
              <w:spacing w:line="360" w:lineRule="auto"/>
              <w:jc w:val="both"/>
              <w:rPr>
                <w:szCs w:val="20"/>
                <w:lang w:val="es-MX"/>
              </w:rPr>
            </w:pPr>
            <w:r w:rsidRPr="00234FA0">
              <w:rPr>
                <w:szCs w:val="20"/>
                <w:lang w:val="es-MX"/>
              </w:rPr>
              <w:t> </w:t>
            </w:r>
          </w:p>
        </w:tc>
        <w:tc>
          <w:tcPr>
            <w:tcW w:w="562" w:type="dxa"/>
            <w:noWrap/>
            <w:hideMark/>
          </w:tcPr>
          <w:p w14:paraId="77950D7E"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V </w:t>
            </w:r>
          </w:p>
        </w:tc>
        <w:tc>
          <w:tcPr>
            <w:tcW w:w="562" w:type="dxa"/>
            <w:noWrap/>
            <w:hideMark/>
          </w:tcPr>
          <w:p w14:paraId="2C338001"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C</w:t>
            </w:r>
          </w:p>
        </w:tc>
        <w:tc>
          <w:tcPr>
            <w:tcW w:w="562" w:type="dxa"/>
            <w:noWrap/>
            <w:hideMark/>
          </w:tcPr>
          <w:p w14:paraId="4EC26920"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CL </w:t>
            </w:r>
          </w:p>
        </w:tc>
        <w:tc>
          <w:tcPr>
            <w:tcW w:w="562" w:type="dxa"/>
            <w:noWrap/>
            <w:hideMark/>
          </w:tcPr>
          <w:p w14:paraId="1347C466"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R </w:t>
            </w:r>
          </w:p>
        </w:tc>
        <w:tc>
          <w:tcPr>
            <w:tcW w:w="562" w:type="dxa"/>
            <w:noWrap/>
            <w:hideMark/>
          </w:tcPr>
          <w:p w14:paraId="43463361"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P </w:t>
            </w:r>
          </w:p>
        </w:tc>
        <w:tc>
          <w:tcPr>
            <w:tcW w:w="562" w:type="dxa"/>
            <w:noWrap/>
            <w:hideMark/>
          </w:tcPr>
          <w:p w14:paraId="772DDE29"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E </w:t>
            </w:r>
          </w:p>
        </w:tc>
      </w:tr>
      <w:tr w:rsidR="00234FA0" w:rsidRPr="00234FA0" w14:paraId="39ED2DC6" w14:textId="77777777" w:rsidTr="00D31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35" w:type="dxa"/>
            <w:noWrap/>
            <w:hideMark/>
          </w:tcPr>
          <w:p w14:paraId="59E25609" w14:textId="77777777" w:rsidR="00234FA0" w:rsidRPr="00234FA0" w:rsidRDefault="00234FA0" w:rsidP="00234FA0">
            <w:pPr>
              <w:spacing w:line="360" w:lineRule="auto"/>
              <w:jc w:val="both"/>
              <w:rPr>
                <w:b/>
                <w:bCs/>
                <w:szCs w:val="20"/>
                <w:lang w:val="es-MX"/>
              </w:rPr>
            </w:pPr>
            <w:r w:rsidRPr="00234FA0">
              <w:rPr>
                <w:b/>
                <w:bCs/>
                <w:szCs w:val="20"/>
                <w:lang w:val="es-MX"/>
              </w:rPr>
              <w:t xml:space="preserve"> V </w:t>
            </w:r>
          </w:p>
        </w:tc>
        <w:tc>
          <w:tcPr>
            <w:tcW w:w="562" w:type="dxa"/>
            <w:noWrap/>
            <w:hideMark/>
          </w:tcPr>
          <w:p w14:paraId="5B0B7D9F"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b/>
                <w:bCs/>
                <w:szCs w:val="20"/>
                <w:lang w:val="es-MX"/>
              </w:rPr>
            </w:pPr>
            <w:r w:rsidRPr="00234FA0">
              <w:rPr>
                <w:b/>
                <w:bCs/>
                <w:szCs w:val="20"/>
                <w:lang w:val="es-MX"/>
              </w:rPr>
              <w:t>0.766</w:t>
            </w:r>
          </w:p>
        </w:tc>
        <w:tc>
          <w:tcPr>
            <w:tcW w:w="562" w:type="dxa"/>
            <w:noWrap/>
            <w:hideMark/>
          </w:tcPr>
          <w:p w14:paraId="62DF1B3F"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24251B9A"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3EA0A302"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339A692E"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45C1E14D"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r>
      <w:tr w:rsidR="00234FA0" w:rsidRPr="00234FA0" w14:paraId="1B424B65" w14:textId="77777777" w:rsidTr="00D31F93">
        <w:trPr>
          <w:trHeight w:val="240"/>
          <w:jc w:val="center"/>
        </w:trPr>
        <w:tc>
          <w:tcPr>
            <w:cnfStyle w:val="001000000000" w:firstRow="0" w:lastRow="0" w:firstColumn="1" w:lastColumn="0" w:oddVBand="0" w:evenVBand="0" w:oddHBand="0" w:evenHBand="0" w:firstRowFirstColumn="0" w:firstRowLastColumn="0" w:lastRowFirstColumn="0" w:lastRowLastColumn="0"/>
            <w:tcW w:w="435" w:type="dxa"/>
            <w:noWrap/>
            <w:hideMark/>
          </w:tcPr>
          <w:p w14:paraId="5B01E6DC" w14:textId="77777777" w:rsidR="00234FA0" w:rsidRPr="00234FA0" w:rsidRDefault="00234FA0" w:rsidP="00234FA0">
            <w:pPr>
              <w:spacing w:line="360" w:lineRule="auto"/>
              <w:jc w:val="both"/>
              <w:rPr>
                <w:b/>
                <w:bCs/>
                <w:szCs w:val="20"/>
                <w:lang w:val="es-MX"/>
              </w:rPr>
            </w:pPr>
            <w:r w:rsidRPr="00234FA0">
              <w:rPr>
                <w:b/>
                <w:bCs/>
                <w:szCs w:val="20"/>
                <w:lang w:val="es-MX"/>
              </w:rPr>
              <w:t xml:space="preserve"> </w:t>
            </w:r>
          </w:p>
          <w:p w14:paraId="73026F45" w14:textId="77777777" w:rsidR="00234FA0" w:rsidRPr="00234FA0" w:rsidRDefault="00234FA0" w:rsidP="00234FA0">
            <w:pPr>
              <w:spacing w:line="360" w:lineRule="auto"/>
              <w:jc w:val="both"/>
              <w:rPr>
                <w:b/>
                <w:bCs/>
                <w:szCs w:val="20"/>
                <w:lang w:val="es-MX"/>
              </w:rPr>
            </w:pPr>
            <w:r w:rsidRPr="00234FA0">
              <w:rPr>
                <w:b/>
                <w:bCs/>
                <w:szCs w:val="20"/>
                <w:lang w:val="es-MX"/>
              </w:rPr>
              <w:t xml:space="preserve">C </w:t>
            </w:r>
          </w:p>
        </w:tc>
        <w:tc>
          <w:tcPr>
            <w:tcW w:w="562" w:type="dxa"/>
            <w:noWrap/>
            <w:hideMark/>
          </w:tcPr>
          <w:p w14:paraId="3F7392BE"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0.651 </w:t>
            </w:r>
          </w:p>
        </w:tc>
        <w:tc>
          <w:tcPr>
            <w:tcW w:w="562" w:type="dxa"/>
            <w:noWrap/>
            <w:hideMark/>
          </w:tcPr>
          <w:p w14:paraId="4FD1536C"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0.805 </w:t>
            </w:r>
          </w:p>
        </w:tc>
        <w:tc>
          <w:tcPr>
            <w:tcW w:w="562" w:type="dxa"/>
            <w:noWrap/>
            <w:hideMark/>
          </w:tcPr>
          <w:p w14:paraId="2C7A2C41"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6600812B"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3C683A5E"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059409A2"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w:t>
            </w:r>
          </w:p>
        </w:tc>
      </w:tr>
      <w:tr w:rsidR="00234FA0" w:rsidRPr="00234FA0" w14:paraId="7AC3FDB3" w14:textId="77777777" w:rsidTr="00D31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35" w:type="dxa"/>
            <w:noWrap/>
            <w:hideMark/>
          </w:tcPr>
          <w:p w14:paraId="5953165D" w14:textId="77777777" w:rsidR="00234FA0" w:rsidRPr="00234FA0" w:rsidRDefault="00234FA0" w:rsidP="00234FA0">
            <w:pPr>
              <w:spacing w:line="360" w:lineRule="auto"/>
              <w:jc w:val="both"/>
              <w:rPr>
                <w:b/>
                <w:bCs/>
                <w:szCs w:val="20"/>
                <w:lang w:val="es-MX"/>
              </w:rPr>
            </w:pPr>
            <w:r w:rsidRPr="00234FA0">
              <w:rPr>
                <w:b/>
                <w:bCs/>
                <w:szCs w:val="20"/>
                <w:lang w:val="es-MX"/>
              </w:rPr>
              <w:t xml:space="preserve"> CL </w:t>
            </w:r>
          </w:p>
        </w:tc>
        <w:tc>
          <w:tcPr>
            <w:tcW w:w="562" w:type="dxa"/>
            <w:noWrap/>
            <w:hideMark/>
          </w:tcPr>
          <w:p w14:paraId="638DE239"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xml:space="preserve">    0.647 </w:t>
            </w:r>
          </w:p>
        </w:tc>
        <w:tc>
          <w:tcPr>
            <w:tcW w:w="562" w:type="dxa"/>
            <w:noWrap/>
            <w:hideMark/>
          </w:tcPr>
          <w:p w14:paraId="552C88E3"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xml:space="preserve">    0.736 </w:t>
            </w:r>
          </w:p>
        </w:tc>
        <w:tc>
          <w:tcPr>
            <w:tcW w:w="562" w:type="dxa"/>
            <w:noWrap/>
            <w:hideMark/>
          </w:tcPr>
          <w:p w14:paraId="288C40B0"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b/>
                <w:bCs/>
                <w:szCs w:val="20"/>
                <w:lang w:val="es-MX"/>
              </w:rPr>
            </w:pPr>
            <w:r w:rsidRPr="00234FA0">
              <w:rPr>
                <w:b/>
                <w:bCs/>
                <w:szCs w:val="20"/>
                <w:lang w:val="es-MX"/>
              </w:rPr>
              <w:t xml:space="preserve">    0.780 </w:t>
            </w:r>
          </w:p>
        </w:tc>
        <w:tc>
          <w:tcPr>
            <w:tcW w:w="562" w:type="dxa"/>
            <w:noWrap/>
            <w:hideMark/>
          </w:tcPr>
          <w:p w14:paraId="279A59B6"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67705050"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5AC60BEA"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r>
      <w:tr w:rsidR="00234FA0" w:rsidRPr="00234FA0" w14:paraId="1C49B28B" w14:textId="77777777" w:rsidTr="00D31F93">
        <w:trPr>
          <w:trHeight w:val="240"/>
          <w:jc w:val="center"/>
        </w:trPr>
        <w:tc>
          <w:tcPr>
            <w:cnfStyle w:val="001000000000" w:firstRow="0" w:lastRow="0" w:firstColumn="1" w:lastColumn="0" w:oddVBand="0" w:evenVBand="0" w:oddHBand="0" w:evenHBand="0" w:firstRowFirstColumn="0" w:firstRowLastColumn="0" w:lastRowFirstColumn="0" w:lastRowLastColumn="0"/>
            <w:tcW w:w="435" w:type="dxa"/>
            <w:noWrap/>
            <w:hideMark/>
          </w:tcPr>
          <w:p w14:paraId="4BE8B93B" w14:textId="77777777" w:rsidR="00234FA0" w:rsidRPr="00234FA0" w:rsidRDefault="00234FA0" w:rsidP="00234FA0">
            <w:pPr>
              <w:spacing w:line="360" w:lineRule="auto"/>
              <w:jc w:val="both"/>
              <w:rPr>
                <w:b/>
                <w:bCs/>
                <w:szCs w:val="20"/>
                <w:lang w:val="es-MX"/>
              </w:rPr>
            </w:pPr>
            <w:r w:rsidRPr="00234FA0">
              <w:rPr>
                <w:b/>
                <w:bCs/>
                <w:szCs w:val="20"/>
                <w:lang w:val="es-MX"/>
              </w:rPr>
              <w:t xml:space="preserve"> </w:t>
            </w:r>
          </w:p>
          <w:p w14:paraId="3A16FA5B" w14:textId="77777777" w:rsidR="00234FA0" w:rsidRPr="00234FA0" w:rsidRDefault="00234FA0" w:rsidP="00234FA0">
            <w:pPr>
              <w:spacing w:line="360" w:lineRule="auto"/>
              <w:jc w:val="both"/>
              <w:rPr>
                <w:b/>
                <w:bCs/>
                <w:szCs w:val="20"/>
                <w:lang w:val="es-MX"/>
              </w:rPr>
            </w:pPr>
            <w:r w:rsidRPr="00234FA0">
              <w:rPr>
                <w:b/>
                <w:bCs/>
                <w:szCs w:val="20"/>
                <w:lang w:val="es-MX"/>
              </w:rPr>
              <w:t xml:space="preserve">R </w:t>
            </w:r>
          </w:p>
        </w:tc>
        <w:tc>
          <w:tcPr>
            <w:tcW w:w="562" w:type="dxa"/>
            <w:noWrap/>
            <w:hideMark/>
          </w:tcPr>
          <w:p w14:paraId="1E8F3A72"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0.713 </w:t>
            </w:r>
          </w:p>
        </w:tc>
        <w:tc>
          <w:tcPr>
            <w:tcW w:w="562" w:type="dxa"/>
            <w:noWrap/>
            <w:hideMark/>
          </w:tcPr>
          <w:p w14:paraId="77C1E288"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0.726 </w:t>
            </w:r>
          </w:p>
        </w:tc>
        <w:tc>
          <w:tcPr>
            <w:tcW w:w="562" w:type="dxa"/>
            <w:noWrap/>
            <w:hideMark/>
          </w:tcPr>
          <w:p w14:paraId="641C614F"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0.765 </w:t>
            </w:r>
          </w:p>
        </w:tc>
        <w:tc>
          <w:tcPr>
            <w:tcW w:w="562" w:type="dxa"/>
            <w:noWrap/>
            <w:hideMark/>
          </w:tcPr>
          <w:p w14:paraId="2FCDEEBD"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0.760 </w:t>
            </w:r>
          </w:p>
        </w:tc>
        <w:tc>
          <w:tcPr>
            <w:tcW w:w="562" w:type="dxa"/>
            <w:noWrap/>
            <w:hideMark/>
          </w:tcPr>
          <w:p w14:paraId="0A4C96BD"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w:t>
            </w:r>
          </w:p>
        </w:tc>
        <w:tc>
          <w:tcPr>
            <w:tcW w:w="562" w:type="dxa"/>
            <w:noWrap/>
            <w:hideMark/>
          </w:tcPr>
          <w:p w14:paraId="373F8E7A"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w:t>
            </w:r>
          </w:p>
        </w:tc>
      </w:tr>
      <w:tr w:rsidR="00234FA0" w:rsidRPr="00234FA0" w14:paraId="6B93B10A" w14:textId="77777777" w:rsidTr="00D31F9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35" w:type="dxa"/>
            <w:noWrap/>
            <w:hideMark/>
          </w:tcPr>
          <w:p w14:paraId="52533844" w14:textId="77777777" w:rsidR="00234FA0" w:rsidRPr="00234FA0" w:rsidRDefault="00234FA0" w:rsidP="00234FA0">
            <w:pPr>
              <w:spacing w:line="360" w:lineRule="auto"/>
              <w:jc w:val="both"/>
              <w:rPr>
                <w:b/>
                <w:bCs/>
                <w:szCs w:val="20"/>
                <w:lang w:val="es-MX"/>
              </w:rPr>
            </w:pPr>
            <w:r w:rsidRPr="00234FA0">
              <w:rPr>
                <w:b/>
                <w:bCs/>
                <w:szCs w:val="20"/>
                <w:lang w:val="es-MX"/>
              </w:rPr>
              <w:t xml:space="preserve"> </w:t>
            </w:r>
          </w:p>
          <w:p w14:paraId="5DA26444" w14:textId="77777777" w:rsidR="00234FA0" w:rsidRPr="00234FA0" w:rsidRDefault="00234FA0" w:rsidP="00234FA0">
            <w:pPr>
              <w:spacing w:line="360" w:lineRule="auto"/>
              <w:jc w:val="both"/>
              <w:rPr>
                <w:b/>
                <w:bCs/>
                <w:szCs w:val="20"/>
                <w:lang w:val="es-MX"/>
              </w:rPr>
            </w:pPr>
            <w:r w:rsidRPr="00234FA0">
              <w:rPr>
                <w:b/>
                <w:bCs/>
                <w:szCs w:val="20"/>
                <w:lang w:val="es-MX"/>
              </w:rPr>
              <w:t xml:space="preserve">P </w:t>
            </w:r>
          </w:p>
        </w:tc>
        <w:tc>
          <w:tcPr>
            <w:tcW w:w="562" w:type="dxa"/>
            <w:noWrap/>
            <w:hideMark/>
          </w:tcPr>
          <w:p w14:paraId="39ED5D32"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xml:space="preserve">    0.669 </w:t>
            </w:r>
          </w:p>
        </w:tc>
        <w:tc>
          <w:tcPr>
            <w:tcW w:w="562" w:type="dxa"/>
            <w:noWrap/>
            <w:hideMark/>
          </w:tcPr>
          <w:p w14:paraId="621D0E7E"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xml:space="preserve">    0.638 </w:t>
            </w:r>
          </w:p>
        </w:tc>
        <w:tc>
          <w:tcPr>
            <w:tcW w:w="562" w:type="dxa"/>
            <w:noWrap/>
            <w:hideMark/>
          </w:tcPr>
          <w:p w14:paraId="0FC1F4FB"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xml:space="preserve">    0.733 </w:t>
            </w:r>
          </w:p>
        </w:tc>
        <w:tc>
          <w:tcPr>
            <w:tcW w:w="562" w:type="dxa"/>
            <w:noWrap/>
            <w:hideMark/>
          </w:tcPr>
          <w:p w14:paraId="1EE008AB"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xml:space="preserve">    0.854 </w:t>
            </w:r>
          </w:p>
        </w:tc>
        <w:tc>
          <w:tcPr>
            <w:tcW w:w="562" w:type="dxa"/>
            <w:noWrap/>
            <w:hideMark/>
          </w:tcPr>
          <w:p w14:paraId="13B9468A"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b/>
                <w:bCs/>
                <w:szCs w:val="20"/>
                <w:lang w:val="es-MX"/>
              </w:rPr>
            </w:pPr>
            <w:r w:rsidRPr="00234FA0">
              <w:rPr>
                <w:b/>
                <w:bCs/>
                <w:szCs w:val="20"/>
                <w:lang w:val="es-MX"/>
              </w:rPr>
              <w:t xml:space="preserve">    0.788</w:t>
            </w:r>
          </w:p>
        </w:tc>
        <w:tc>
          <w:tcPr>
            <w:tcW w:w="562" w:type="dxa"/>
            <w:noWrap/>
            <w:hideMark/>
          </w:tcPr>
          <w:p w14:paraId="45D3DB5F"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 </w:t>
            </w:r>
          </w:p>
        </w:tc>
      </w:tr>
      <w:tr w:rsidR="00234FA0" w:rsidRPr="00234FA0" w14:paraId="77D175A1" w14:textId="77777777" w:rsidTr="00D31F93">
        <w:trPr>
          <w:trHeight w:val="240"/>
          <w:jc w:val="center"/>
        </w:trPr>
        <w:tc>
          <w:tcPr>
            <w:cnfStyle w:val="001000000000" w:firstRow="0" w:lastRow="0" w:firstColumn="1" w:lastColumn="0" w:oddVBand="0" w:evenVBand="0" w:oddHBand="0" w:evenHBand="0" w:firstRowFirstColumn="0" w:firstRowLastColumn="0" w:lastRowFirstColumn="0" w:lastRowLastColumn="0"/>
            <w:tcW w:w="435" w:type="dxa"/>
            <w:noWrap/>
            <w:hideMark/>
          </w:tcPr>
          <w:p w14:paraId="1BFBAB32" w14:textId="77777777" w:rsidR="00234FA0" w:rsidRPr="00234FA0" w:rsidRDefault="00234FA0" w:rsidP="00234FA0">
            <w:pPr>
              <w:spacing w:line="360" w:lineRule="auto"/>
              <w:jc w:val="both"/>
              <w:rPr>
                <w:b/>
                <w:bCs/>
                <w:szCs w:val="20"/>
                <w:lang w:val="es-MX"/>
              </w:rPr>
            </w:pPr>
            <w:r w:rsidRPr="00234FA0">
              <w:rPr>
                <w:b/>
                <w:bCs/>
                <w:szCs w:val="20"/>
                <w:lang w:val="es-MX"/>
              </w:rPr>
              <w:lastRenderedPageBreak/>
              <w:t xml:space="preserve"> </w:t>
            </w:r>
          </w:p>
          <w:p w14:paraId="20E359A2" w14:textId="77777777" w:rsidR="00234FA0" w:rsidRPr="00234FA0" w:rsidRDefault="00234FA0" w:rsidP="00234FA0">
            <w:pPr>
              <w:spacing w:line="360" w:lineRule="auto"/>
              <w:jc w:val="both"/>
              <w:rPr>
                <w:b/>
                <w:bCs/>
                <w:szCs w:val="20"/>
                <w:lang w:val="es-MX"/>
              </w:rPr>
            </w:pPr>
            <w:r w:rsidRPr="00234FA0">
              <w:rPr>
                <w:b/>
                <w:bCs/>
                <w:szCs w:val="20"/>
                <w:lang w:val="es-MX"/>
              </w:rPr>
              <w:t xml:space="preserve">E </w:t>
            </w:r>
          </w:p>
        </w:tc>
        <w:tc>
          <w:tcPr>
            <w:tcW w:w="562" w:type="dxa"/>
            <w:noWrap/>
            <w:hideMark/>
          </w:tcPr>
          <w:p w14:paraId="4CF265BB"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0.643 </w:t>
            </w:r>
          </w:p>
        </w:tc>
        <w:tc>
          <w:tcPr>
            <w:tcW w:w="562" w:type="dxa"/>
            <w:noWrap/>
            <w:hideMark/>
          </w:tcPr>
          <w:p w14:paraId="0A359486"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0.658 </w:t>
            </w:r>
          </w:p>
        </w:tc>
        <w:tc>
          <w:tcPr>
            <w:tcW w:w="562" w:type="dxa"/>
            <w:noWrap/>
            <w:hideMark/>
          </w:tcPr>
          <w:p w14:paraId="448F8723"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0.664 </w:t>
            </w:r>
          </w:p>
        </w:tc>
        <w:tc>
          <w:tcPr>
            <w:tcW w:w="562" w:type="dxa"/>
            <w:noWrap/>
            <w:hideMark/>
          </w:tcPr>
          <w:p w14:paraId="514014DE"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0.850 </w:t>
            </w:r>
          </w:p>
        </w:tc>
        <w:tc>
          <w:tcPr>
            <w:tcW w:w="562" w:type="dxa"/>
            <w:noWrap/>
            <w:hideMark/>
          </w:tcPr>
          <w:p w14:paraId="226D699C"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 xml:space="preserve">    0.777 </w:t>
            </w:r>
          </w:p>
        </w:tc>
        <w:tc>
          <w:tcPr>
            <w:tcW w:w="562" w:type="dxa"/>
            <w:noWrap/>
            <w:hideMark/>
          </w:tcPr>
          <w:p w14:paraId="5A793ACB"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b/>
                <w:bCs/>
                <w:szCs w:val="20"/>
                <w:lang w:val="es-MX"/>
              </w:rPr>
            </w:pPr>
            <w:r w:rsidRPr="00234FA0">
              <w:rPr>
                <w:b/>
                <w:bCs/>
                <w:szCs w:val="20"/>
                <w:lang w:val="es-MX"/>
              </w:rPr>
              <w:t xml:space="preserve">    0.799 </w:t>
            </w:r>
          </w:p>
        </w:tc>
      </w:tr>
    </w:tbl>
    <w:p w14:paraId="399A934E" w14:textId="77777777" w:rsidR="00234FA0" w:rsidRPr="00234FA0" w:rsidRDefault="00234FA0" w:rsidP="00234FA0">
      <w:pPr>
        <w:spacing w:line="360" w:lineRule="auto"/>
        <w:jc w:val="both"/>
        <w:rPr>
          <w:szCs w:val="20"/>
          <w:lang w:val="es-MX"/>
        </w:rPr>
      </w:pPr>
    </w:p>
    <w:p w14:paraId="7A11EDE0" w14:textId="77777777" w:rsidR="00234FA0" w:rsidRPr="00234FA0" w:rsidRDefault="00234FA0" w:rsidP="00234FA0">
      <w:pPr>
        <w:spacing w:line="360" w:lineRule="auto"/>
        <w:jc w:val="both"/>
        <w:rPr>
          <w:szCs w:val="20"/>
          <w:lang w:val="es-MX"/>
        </w:rPr>
      </w:pPr>
      <w:r w:rsidRPr="00234FA0">
        <w:rPr>
          <w:szCs w:val="20"/>
          <w:lang w:val="es-MX"/>
        </w:rPr>
        <w:t>Fuente: Elaboración propia a partir de la información obtenida</w:t>
      </w:r>
    </w:p>
    <w:p w14:paraId="1CDFA2B6" w14:textId="77777777" w:rsidR="00234FA0" w:rsidRPr="00234FA0" w:rsidRDefault="00234FA0" w:rsidP="00234FA0">
      <w:pPr>
        <w:spacing w:line="360" w:lineRule="auto"/>
        <w:jc w:val="both"/>
        <w:rPr>
          <w:szCs w:val="20"/>
          <w:lang w:val="es-MX"/>
        </w:rPr>
      </w:pPr>
    </w:p>
    <w:p w14:paraId="4A71EF2B" w14:textId="77777777" w:rsidR="00234FA0" w:rsidRPr="00234FA0" w:rsidRDefault="00234FA0" w:rsidP="004346DC">
      <w:pPr>
        <w:spacing w:line="360" w:lineRule="auto"/>
        <w:ind w:firstLine="567"/>
        <w:jc w:val="both"/>
        <w:rPr>
          <w:i/>
          <w:iCs/>
          <w:szCs w:val="20"/>
          <w:lang w:val="es-MX"/>
        </w:rPr>
      </w:pPr>
      <w:r w:rsidRPr="00234FA0">
        <w:rPr>
          <w:szCs w:val="20"/>
          <w:lang w:val="es-MX"/>
        </w:rPr>
        <w:t xml:space="preserve">El siguiente paso es la evaluación del modelo estructural. Para ello se evaluan: </w:t>
      </w:r>
      <w:r w:rsidRPr="00234FA0">
        <w:rPr>
          <w:i/>
          <w:iCs/>
          <w:szCs w:val="20"/>
          <w:lang w:val="es-MX"/>
        </w:rPr>
        <w:t>a) coeficiente de determinación (R</w:t>
      </w:r>
      <w:r w:rsidRPr="00234FA0">
        <w:rPr>
          <w:i/>
          <w:iCs/>
          <w:szCs w:val="20"/>
          <w:vertAlign w:val="superscript"/>
          <w:lang w:val="es-MX"/>
        </w:rPr>
        <w:t>2</w:t>
      </w:r>
      <w:r w:rsidRPr="00234FA0">
        <w:rPr>
          <w:i/>
          <w:iCs/>
          <w:szCs w:val="20"/>
          <w:lang w:val="es-MX"/>
        </w:rPr>
        <w:t>), b) redundancia de validación cruzada (Q</w:t>
      </w:r>
      <w:r w:rsidRPr="00234FA0">
        <w:rPr>
          <w:i/>
          <w:iCs/>
          <w:szCs w:val="20"/>
          <w:vertAlign w:val="superscript"/>
          <w:lang w:val="es-MX"/>
        </w:rPr>
        <w:t>2</w:t>
      </w:r>
      <w:r w:rsidRPr="00234FA0">
        <w:rPr>
          <w:i/>
          <w:iCs/>
          <w:szCs w:val="20"/>
          <w:lang w:val="es-MX"/>
        </w:rPr>
        <w:t xml:space="preserve">) y c) los coeficientes path </w:t>
      </w:r>
      <w:r w:rsidRPr="00234FA0">
        <w:rPr>
          <w:i/>
          <w:iCs/>
          <w:szCs w:val="20"/>
          <w:lang w:val="es-MX"/>
        </w:rPr>
        <w:fldChar w:fldCharType="begin" w:fldLock="1"/>
      </w:r>
      <w:r w:rsidRPr="00234FA0">
        <w:rPr>
          <w:i/>
          <w:iCs/>
          <w:szCs w:val="20"/>
          <w:lang w:val="es-MX"/>
        </w:rPr>
        <w:instrText>ADDIN CSL_CITATION {"citationItems":[{"id":"ITEM-1","itemData":{"DOI":"10.1016/j.jfbs.2014.01.002","ISBN":"1877-8585","ISSN":"18778585","abstract":"Structural equation modeling (SEM) has become a mainstream method in many fields of business research, but its use in family business research remains in its infancy. This lag in SEM's application holds especially true for partial least squares SEM (PLS-SEM), an alternative to covariance-based SEM, which provides researchers with more flexibility in terms of data requirements, model complexity and relationship specification. This article draws attention to PLS-SEM as an opportunity to advance the development and testing of theory in family business research by providing a non-technical introduction into the basic concepts and issues of PLS-SEM, bearing the needs of potential users in mind. To this end, a systematic procedure for PLS-SEM results evaluation is presented and applied to an annotated example. The article also illustrates the analysis of mediating effects, which researchers are increasingly testing in their models. © 2014 Elsevier Ltd.","author":[{"dropping-particle":"","family":"Sarstedt","given":"Marko","non-dropping-particle":"","parse-names":false,"suffix":""},{"dropping-particle":"","family":"Ringle","given":"Christian M.","non-dropping-particle":"","parse-names":false,"suffix":""},{"dropping-particle":"","family":"Smith","given":"Donna","non-dropping-particle":"","parse-names":false,"suffix":""},{"dropping-particle":"","family":"Reams","given":"Russell","non-dropping-particle":"","parse-names":false,"suffix":""},{"dropping-particle":"","family":"Hair","given":"Joseph F.","non-dropping-particle":"","parse-names":false,"suffix":""}],"container-title":"Journal of Family Business Strategy","id":"ITEM-1","issue":"1","issued":{"date-parts":[["2014"]]},"page":"105-115","publisher":"Elsevier Ltd","title":"Partial least squares structural equation modeling (PLS-SEM): A useful tool for family business researchers","type":"article-journal","volume":"5"},"uris":["http://www.mendeley.com/documents/?uuid=3a27171e-4fbf-4f5a-a02c-8e93b2690caa"]}],"mendeley":{"formattedCitation":"(Sarstedt et al., 2014)","plainTextFormattedCitation":"(Sarstedt et al., 2014)","previouslyFormattedCitation":"(Sarstedt et al., 2014)"},"properties":{"noteIndex":0},"schema":"https://github.com/citation-style-language/schema/raw/master/csl-citation.json"}</w:instrText>
      </w:r>
      <w:r w:rsidRPr="00234FA0">
        <w:rPr>
          <w:i/>
          <w:iCs/>
          <w:szCs w:val="20"/>
          <w:lang w:val="es-MX"/>
        </w:rPr>
        <w:fldChar w:fldCharType="separate"/>
      </w:r>
      <w:r w:rsidRPr="00234FA0">
        <w:rPr>
          <w:i/>
          <w:iCs/>
          <w:szCs w:val="20"/>
          <w:lang w:val="es-MX"/>
        </w:rPr>
        <w:t>(Sarstedt et al., 2014)</w:t>
      </w:r>
      <w:r w:rsidRPr="00234FA0">
        <w:rPr>
          <w:szCs w:val="20"/>
        </w:rPr>
        <w:fldChar w:fldCharType="end"/>
      </w:r>
      <w:r w:rsidRPr="00234FA0">
        <w:rPr>
          <w:i/>
          <w:iCs/>
          <w:szCs w:val="20"/>
          <w:lang w:val="es-MX"/>
        </w:rPr>
        <w:t xml:space="preserve"> (véase tabla 3).</w:t>
      </w:r>
    </w:p>
    <w:p w14:paraId="0FF1104D" w14:textId="77777777" w:rsidR="00234FA0" w:rsidRPr="00234FA0" w:rsidRDefault="00234FA0" w:rsidP="00234FA0">
      <w:pPr>
        <w:spacing w:line="360" w:lineRule="auto"/>
        <w:jc w:val="both"/>
        <w:rPr>
          <w:szCs w:val="20"/>
          <w:lang w:val="es-MX"/>
        </w:rPr>
      </w:pPr>
    </w:p>
    <w:p w14:paraId="762387A0" w14:textId="77777777" w:rsidR="004346DC" w:rsidRDefault="004346DC" w:rsidP="00234FA0">
      <w:pPr>
        <w:spacing w:line="360" w:lineRule="auto"/>
        <w:jc w:val="both"/>
        <w:rPr>
          <w:i/>
          <w:szCs w:val="20"/>
          <w:lang w:val="es-MX"/>
        </w:rPr>
      </w:pPr>
    </w:p>
    <w:p w14:paraId="2A11BAD1" w14:textId="77777777" w:rsidR="004346DC" w:rsidRDefault="004346DC" w:rsidP="00234FA0">
      <w:pPr>
        <w:spacing w:line="360" w:lineRule="auto"/>
        <w:jc w:val="both"/>
        <w:rPr>
          <w:i/>
          <w:szCs w:val="20"/>
          <w:lang w:val="es-MX"/>
        </w:rPr>
      </w:pPr>
    </w:p>
    <w:p w14:paraId="2E0B1EFC" w14:textId="4C17046E" w:rsidR="00234FA0" w:rsidRPr="00234FA0" w:rsidRDefault="00234FA0" w:rsidP="00234FA0">
      <w:pPr>
        <w:spacing w:line="360" w:lineRule="auto"/>
        <w:jc w:val="both"/>
        <w:rPr>
          <w:szCs w:val="20"/>
          <w:lang w:val="es-MX"/>
        </w:rPr>
      </w:pPr>
      <w:r w:rsidRPr="00234FA0">
        <w:rPr>
          <w:i/>
          <w:szCs w:val="20"/>
          <w:lang w:val="es-MX"/>
        </w:rPr>
        <w:t>Tabla 3</w:t>
      </w:r>
      <w:r w:rsidRPr="00234FA0">
        <w:rPr>
          <w:iCs/>
          <w:szCs w:val="20"/>
          <w:lang w:val="es-MX"/>
        </w:rPr>
        <w:t xml:space="preserve">. </w:t>
      </w:r>
      <w:r w:rsidRPr="00234FA0">
        <w:rPr>
          <w:szCs w:val="20"/>
          <w:lang w:val="es-MX"/>
        </w:rPr>
        <w:t>R</w:t>
      </w:r>
      <w:r w:rsidRPr="00234FA0">
        <w:rPr>
          <w:szCs w:val="20"/>
          <w:vertAlign w:val="superscript"/>
          <w:lang w:val="es-MX"/>
        </w:rPr>
        <w:t>2</w:t>
      </w:r>
      <w:r w:rsidRPr="00234FA0">
        <w:rPr>
          <w:szCs w:val="20"/>
          <w:lang w:val="es-MX"/>
        </w:rPr>
        <w:t>, R</w:t>
      </w:r>
      <w:r w:rsidRPr="00234FA0">
        <w:rPr>
          <w:szCs w:val="20"/>
          <w:vertAlign w:val="superscript"/>
          <w:lang w:val="es-MX"/>
        </w:rPr>
        <w:t>2</w:t>
      </w:r>
      <w:r w:rsidRPr="00234FA0">
        <w:rPr>
          <w:szCs w:val="20"/>
          <w:lang w:val="es-MX"/>
        </w:rPr>
        <w:t xml:space="preserve"> ajustada y Q</w:t>
      </w:r>
      <w:r w:rsidRPr="00234FA0">
        <w:rPr>
          <w:szCs w:val="20"/>
          <w:vertAlign w:val="superscript"/>
          <w:lang w:val="es-MX"/>
        </w:rPr>
        <w:t>2</w:t>
      </w:r>
      <w:r w:rsidRPr="00234FA0">
        <w:rPr>
          <w:szCs w:val="20"/>
          <w:lang w:val="es-MX"/>
        </w:rPr>
        <w:t xml:space="preserve"> del modelo estructural.</w:t>
      </w:r>
    </w:p>
    <w:p w14:paraId="7BB0682F" w14:textId="77777777" w:rsidR="00234FA0" w:rsidRPr="00234FA0" w:rsidRDefault="00234FA0" w:rsidP="00234FA0">
      <w:pPr>
        <w:spacing w:line="360" w:lineRule="auto"/>
        <w:jc w:val="both"/>
        <w:rPr>
          <w:szCs w:val="20"/>
          <w:lang w:val="es-MX"/>
        </w:rPr>
      </w:pPr>
    </w:p>
    <w:tbl>
      <w:tblPr>
        <w:tblStyle w:val="Tablanormal5"/>
        <w:tblW w:w="3500" w:type="dxa"/>
        <w:jc w:val="center"/>
        <w:tblLook w:val="04A0" w:firstRow="1" w:lastRow="0" w:firstColumn="1" w:lastColumn="0" w:noHBand="0" w:noVBand="1"/>
      </w:tblPr>
      <w:tblGrid>
        <w:gridCol w:w="822"/>
        <w:gridCol w:w="913"/>
        <w:gridCol w:w="1043"/>
        <w:gridCol w:w="822"/>
      </w:tblGrid>
      <w:tr w:rsidR="00234FA0" w:rsidRPr="00234FA0" w14:paraId="4AD7BCD2" w14:textId="77777777" w:rsidTr="00D31F93">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100" w:firstRow="0" w:lastRow="0" w:firstColumn="1" w:lastColumn="0" w:oddVBand="0" w:evenVBand="0" w:oddHBand="0" w:evenHBand="0" w:firstRowFirstColumn="1" w:firstRowLastColumn="0" w:lastRowFirstColumn="0" w:lastRowLastColumn="0"/>
            <w:tcW w:w="822" w:type="dxa"/>
            <w:noWrap/>
            <w:hideMark/>
          </w:tcPr>
          <w:p w14:paraId="3999CD95" w14:textId="77777777" w:rsidR="00234FA0" w:rsidRPr="00234FA0" w:rsidRDefault="00234FA0" w:rsidP="00234FA0">
            <w:pPr>
              <w:spacing w:line="360" w:lineRule="auto"/>
              <w:jc w:val="both"/>
              <w:rPr>
                <w:szCs w:val="20"/>
                <w:lang w:val="es-MX"/>
              </w:rPr>
            </w:pPr>
          </w:p>
        </w:tc>
        <w:tc>
          <w:tcPr>
            <w:tcW w:w="913" w:type="dxa"/>
            <w:noWrap/>
            <w:hideMark/>
          </w:tcPr>
          <w:p w14:paraId="5C70A65E"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szCs w:val="20"/>
                <w:lang w:val="es-MX"/>
              </w:rPr>
            </w:pPr>
            <w:r w:rsidRPr="00234FA0">
              <w:rPr>
                <w:szCs w:val="20"/>
                <w:lang w:val="es-MX"/>
              </w:rPr>
              <w:t>R</w:t>
            </w:r>
            <w:r w:rsidRPr="00234FA0">
              <w:rPr>
                <w:szCs w:val="20"/>
                <w:vertAlign w:val="superscript"/>
                <w:lang w:val="es-MX"/>
              </w:rPr>
              <w:t>2</w:t>
            </w:r>
          </w:p>
        </w:tc>
        <w:tc>
          <w:tcPr>
            <w:tcW w:w="943" w:type="dxa"/>
            <w:noWrap/>
            <w:hideMark/>
          </w:tcPr>
          <w:p w14:paraId="68AB4ACC"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szCs w:val="20"/>
                <w:lang w:val="es-MX"/>
              </w:rPr>
            </w:pPr>
            <w:r w:rsidRPr="00234FA0">
              <w:rPr>
                <w:szCs w:val="20"/>
                <w:lang w:val="es-MX"/>
              </w:rPr>
              <w:t>R</w:t>
            </w:r>
            <w:r w:rsidRPr="00234FA0">
              <w:rPr>
                <w:szCs w:val="20"/>
                <w:vertAlign w:val="superscript"/>
                <w:lang w:val="es-MX"/>
              </w:rPr>
              <w:t>2</w:t>
            </w:r>
            <w:r w:rsidRPr="00234FA0">
              <w:rPr>
                <w:szCs w:val="20"/>
                <w:lang w:val="es-MX"/>
              </w:rPr>
              <w:t xml:space="preserve"> ajustada</w:t>
            </w:r>
          </w:p>
        </w:tc>
        <w:tc>
          <w:tcPr>
            <w:tcW w:w="822" w:type="dxa"/>
            <w:noWrap/>
            <w:hideMark/>
          </w:tcPr>
          <w:p w14:paraId="0E616E78"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szCs w:val="20"/>
                <w:lang w:val="es-MX"/>
              </w:rPr>
            </w:pPr>
            <w:r w:rsidRPr="00234FA0">
              <w:rPr>
                <w:szCs w:val="20"/>
                <w:lang w:val="es-MX"/>
              </w:rPr>
              <w:t>Q</w:t>
            </w:r>
            <w:r w:rsidRPr="00234FA0">
              <w:rPr>
                <w:szCs w:val="20"/>
                <w:vertAlign w:val="superscript"/>
                <w:lang w:val="es-MX"/>
              </w:rPr>
              <w:t>2</w:t>
            </w:r>
          </w:p>
        </w:tc>
      </w:tr>
      <w:tr w:rsidR="00234FA0" w:rsidRPr="00234FA0" w14:paraId="6F15D802" w14:textId="77777777" w:rsidTr="00D31F93">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822" w:type="dxa"/>
            <w:noWrap/>
            <w:hideMark/>
          </w:tcPr>
          <w:p w14:paraId="5173AC37" w14:textId="77777777" w:rsidR="00234FA0" w:rsidRPr="00234FA0" w:rsidRDefault="00234FA0" w:rsidP="00234FA0">
            <w:pPr>
              <w:spacing w:line="360" w:lineRule="auto"/>
              <w:jc w:val="both"/>
              <w:rPr>
                <w:szCs w:val="20"/>
                <w:lang w:val="es-MX"/>
              </w:rPr>
            </w:pPr>
            <w:r w:rsidRPr="00234FA0">
              <w:rPr>
                <w:szCs w:val="20"/>
                <w:lang w:val="es-MX"/>
              </w:rPr>
              <w:t>V</w:t>
            </w:r>
          </w:p>
        </w:tc>
        <w:tc>
          <w:tcPr>
            <w:tcW w:w="913" w:type="dxa"/>
            <w:noWrap/>
            <w:hideMark/>
          </w:tcPr>
          <w:p w14:paraId="5DA29158"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0.624</w:t>
            </w:r>
          </w:p>
        </w:tc>
        <w:tc>
          <w:tcPr>
            <w:tcW w:w="943" w:type="dxa"/>
            <w:noWrap/>
            <w:hideMark/>
          </w:tcPr>
          <w:p w14:paraId="40AED53B"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0.622</w:t>
            </w:r>
          </w:p>
        </w:tc>
        <w:tc>
          <w:tcPr>
            <w:tcW w:w="822" w:type="dxa"/>
            <w:noWrap/>
            <w:hideMark/>
          </w:tcPr>
          <w:p w14:paraId="0E37005E"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0.355</w:t>
            </w:r>
          </w:p>
        </w:tc>
      </w:tr>
      <w:tr w:rsidR="00234FA0" w:rsidRPr="00234FA0" w14:paraId="32A3EC93" w14:textId="77777777" w:rsidTr="00D31F93">
        <w:trPr>
          <w:trHeight w:val="371"/>
          <w:jc w:val="center"/>
        </w:trPr>
        <w:tc>
          <w:tcPr>
            <w:cnfStyle w:val="001000000000" w:firstRow="0" w:lastRow="0" w:firstColumn="1" w:lastColumn="0" w:oddVBand="0" w:evenVBand="0" w:oddHBand="0" w:evenHBand="0" w:firstRowFirstColumn="0" w:firstRowLastColumn="0" w:lastRowFirstColumn="0" w:lastRowLastColumn="0"/>
            <w:tcW w:w="822" w:type="dxa"/>
            <w:noWrap/>
            <w:hideMark/>
          </w:tcPr>
          <w:p w14:paraId="340CB7F8" w14:textId="77777777" w:rsidR="00234FA0" w:rsidRPr="00234FA0" w:rsidRDefault="00234FA0" w:rsidP="00234FA0">
            <w:pPr>
              <w:spacing w:line="360" w:lineRule="auto"/>
              <w:jc w:val="both"/>
              <w:rPr>
                <w:szCs w:val="20"/>
                <w:lang w:val="es-MX"/>
              </w:rPr>
            </w:pPr>
            <w:r w:rsidRPr="00234FA0">
              <w:rPr>
                <w:szCs w:val="20"/>
                <w:lang w:val="es-MX"/>
              </w:rPr>
              <w:t>C</w:t>
            </w:r>
          </w:p>
        </w:tc>
        <w:tc>
          <w:tcPr>
            <w:tcW w:w="913" w:type="dxa"/>
            <w:noWrap/>
            <w:hideMark/>
          </w:tcPr>
          <w:p w14:paraId="66FA66A7"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0.709</w:t>
            </w:r>
          </w:p>
        </w:tc>
        <w:tc>
          <w:tcPr>
            <w:tcW w:w="943" w:type="dxa"/>
            <w:noWrap/>
            <w:hideMark/>
          </w:tcPr>
          <w:p w14:paraId="2F411266"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0.708</w:t>
            </w:r>
          </w:p>
        </w:tc>
        <w:tc>
          <w:tcPr>
            <w:tcW w:w="822" w:type="dxa"/>
            <w:noWrap/>
            <w:hideMark/>
          </w:tcPr>
          <w:p w14:paraId="6E6BA4F3"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0.454</w:t>
            </w:r>
          </w:p>
        </w:tc>
      </w:tr>
      <w:tr w:rsidR="00234FA0" w:rsidRPr="00234FA0" w14:paraId="49354A1B" w14:textId="77777777" w:rsidTr="00D31F93">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822" w:type="dxa"/>
            <w:noWrap/>
            <w:hideMark/>
          </w:tcPr>
          <w:p w14:paraId="55B78543" w14:textId="77777777" w:rsidR="00234FA0" w:rsidRPr="00234FA0" w:rsidRDefault="00234FA0" w:rsidP="00234FA0">
            <w:pPr>
              <w:spacing w:line="360" w:lineRule="auto"/>
              <w:jc w:val="both"/>
              <w:rPr>
                <w:szCs w:val="20"/>
                <w:lang w:val="es-MX"/>
              </w:rPr>
            </w:pPr>
            <w:r w:rsidRPr="00234FA0">
              <w:rPr>
                <w:szCs w:val="20"/>
                <w:lang w:val="es-MX"/>
              </w:rPr>
              <w:t>CL</w:t>
            </w:r>
          </w:p>
        </w:tc>
        <w:tc>
          <w:tcPr>
            <w:tcW w:w="913" w:type="dxa"/>
            <w:noWrap/>
            <w:hideMark/>
          </w:tcPr>
          <w:p w14:paraId="7C804E94"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0.733</w:t>
            </w:r>
          </w:p>
        </w:tc>
        <w:tc>
          <w:tcPr>
            <w:tcW w:w="943" w:type="dxa"/>
            <w:noWrap/>
            <w:hideMark/>
          </w:tcPr>
          <w:p w14:paraId="61536B8A"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0.732</w:t>
            </w:r>
          </w:p>
        </w:tc>
        <w:tc>
          <w:tcPr>
            <w:tcW w:w="822" w:type="dxa"/>
            <w:noWrap/>
            <w:hideMark/>
          </w:tcPr>
          <w:p w14:paraId="58517D00"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0.431</w:t>
            </w:r>
          </w:p>
        </w:tc>
      </w:tr>
      <w:tr w:rsidR="00234FA0" w:rsidRPr="00234FA0" w14:paraId="34A4F3D8" w14:textId="77777777" w:rsidTr="00D31F93">
        <w:trPr>
          <w:trHeight w:val="371"/>
          <w:jc w:val="center"/>
        </w:trPr>
        <w:tc>
          <w:tcPr>
            <w:cnfStyle w:val="001000000000" w:firstRow="0" w:lastRow="0" w:firstColumn="1" w:lastColumn="0" w:oddVBand="0" w:evenVBand="0" w:oddHBand="0" w:evenHBand="0" w:firstRowFirstColumn="0" w:firstRowLastColumn="0" w:lastRowFirstColumn="0" w:lastRowLastColumn="0"/>
            <w:tcW w:w="822" w:type="dxa"/>
            <w:noWrap/>
            <w:hideMark/>
          </w:tcPr>
          <w:p w14:paraId="1C68D73C" w14:textId="77777777" w:rsidR="00234FA0" w:rsidRPr="00234FA0" w:rsidRDefault="00234FA0" w:rsidP="00234FA0">
            <w:pPr>
              <w:spacing w:line="360" w:lineRule="auto"/>
              <w:jc w:val="both"/>
              <w:rPr>
                <w:szCs w:val="20"/>
                <w:lang w:val="es-MX"/>
              </w:rPr>
            </w:pPr>
            <w:r w:rsidRPr="00234FA0">
              <w:rPr>
                <w:szCs w:val="20"/>
                <w:lang w:val="es-MX"/>
              </w:rPr>
              <w:t>R</w:t>
            </w:r>
          </w:p>
        </w:tc>
        <w:tc>
          <w:tcPr>
            <w:tcW w:w="913" w:type="dxa"/>
            <w:noWrap/>
            <w:hideMark/>
          </w:tcPr>
          <w:p w14:paraId="7D15E213"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0.889</w:t>
            </w:r>
          </w:p>
        </w:tc>
        <w:tc>
          <w:tcPr>
            <w:tcW w:w="943" w:type="dxa"/>
            <w:noWrap/>
            <w:hideMark/>
          </w:tcPr>
          <w:p w14:paraId="4B8EE578"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0.889</w:t>
            </w:r>
          </w:p>
        </w:tc>
        <w:tc>
          <w:tcPr>
            <w:tcW w:w="822" w:type="dxa"/>
            <w:noWrap/>
            <w:hideMark/>
          </w:tcPr>
          <w:p w14:paraId="4405FC18"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0.503</w:t>
            </w:r>
          </w:p>
        </w:tc>
      </w:tr>
      <w:tr w:rsidR="00234FA0" w:rsidRPr="00234FA0" w14:paraId="281F43C6" w14:textId="77777777" w:rsidTr="00D31F93">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822" w:type="dxa"/>
            <w:noWrap/>
            <w:hideMark/>
          </w:tcPr>
          <w:p w14:paraId="372B781E" w14:textId="77777777" w:rsidR="00234FA0" w:rsidRPr="00234FA0" w:rsidRDefault="00234FA0" w:rsidP="00234FA0">
            <w:pPr>
              <w:spacing w:line="360" w:lineRule="auto"/>
              <w:jc w:val="both"/>
              <w:rPr>
                <w:szCs w:val="20"/>
                <w:lang w:val="es-MX"/>
              </w:rPr>
            </w:pPr>
            <w:r w:rsidRPr="00234FA0">
              <w:rPr>
                <w:szCs w:val="20"/>
                <w:lang w:val="es-MX"/>
              </w:rPr>
              <w:t>P</w:t>
            </w:r>
          </w:p>
        </w:tc>
        <w:tc>
          <w:tcPr>
            <w:tcW w:w="913" w:type="dxa"/>
            <w:noWrap/>
            <w:hideMark/>
          </w:tcPr>
          <w:p w14:paraId="19ABD7CA"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0.792</w:t>
            </w:r>
          </w:p>
        </w:tc>
        <w:tc>
          <w:tcPr>
            <w:tcW w:w="943" w:type="dxa"/>
            <w:noWrap/>
            <w:hideMark/>
          </w:tcPr>
          <w:p w14:paraId="70821F65"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0.790</w:t>
            </w:r>
          </w:p>
        </w:tc>
        <w:tc>
          <w:tcPr>
            <w:tcW w:w="822" w:type="dxa"/>
            <w:noWrap/>
            <w:hideMark/>
          </w:tcPr>
          <w:p w14:paraId="4AFB5CAD"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0.485</w:t>
            </w:r>
          </w:p>
        </w:tc>
      </w:tr>
      <w:tr w:rsidR="00234FA0" w:rsidRPr="00234FA0" w14:paraId="23FBFE86" w14:textId="77777777" w:rsidTr="00D31F93">
        <w:trPr>
          <w:trHeight w:val="371"/>
          <w:jc w:val="center"/>
        </w:trPr>
        <w:tc>
          <w:tcPr>
            <w:cnfStyle w:val="001000000000" w:firstRow="0" w:lastRow="0" w:firstColumn="1" w:lastColumn="0" w:oddVBand="0" w:evenVBand="0" w:oddHBand="0" w:evenHBand="0" w:firstRowFirstColumn="0" w:firstRowLastColumn="0" w:lastRowFirstColumn="0" w:lastRowLastColumn="0"/>
            <w:tcW w:w="822" w:type="dxa"/>
            <w:noWrap/>
            <w:hideMark/>
          </w:tcPr>
          <w:p w14:paraId="5277BE1F" w14:textId="77777777" w:rsidR="00234FA0" w:rsidRPr="00234FA0" w:rsidRDefault="00234FA0" w:rsidP="00234FA0">
            <w:pPr>
              <w:spacing w:line="360" w:lineRule="auto"/>
              <w:jc w:val="both"/>
              <w:rPr>
                <w:szCs w:val="20"/>
                <w:lang w:val="es-MX"/>
              </w:rPr>
            </w:pPr>
            <w:r w:rsidRPr="00234FA0">
              <w:rPr>
                <w:szCs w:val="20"/>
                <w:lang w:val="es-MX"/>
              </w:rPr>
              <w:t>E</w:t>
            </w:r>
          </w:p>
        </w:tc>
        <w:tc>
          <w:tcPr>
            <w:tcW w:w="913" w:type="dxa"/>
            <w:noWrap/>
            <w:hideMark/>
          </w:tcPr>
          <w:p w14:paraId="56C59822"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0.793</w:t>
            </w:r>
          </w:p>
          <w:p w14:paraId="756A2744"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p>
        </w:tc>
        <w:tc>
          <w:tcPr>
            <w:tcW w:w="943" w:type="dxa"/>
            <w:noWrap/>
            <w:hideMark/>
          </w:tcPr>
          <w:p w14:paraId="04715085"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0.792</w:t>
            </w:r>
          </w:p>
        </w:tc>
        <w:tc>
          <w:tcPr>
            <w:tcW w:w="822" w:type="dxa"/>
            <w:noWrap/>
            <w:hideMark/>
          </w:tcPr>
          <w:p w14:paraId="0A2AB8B0"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0.494</w:t>
            </w:r>
          </w:p>
        </w:tc>
      </w:tr>
    </w:tbl>
    <w:p w14:paraId="15601234" w14:textId="77777777" w:rsidR="00234FA0" w:rsidRPr="00234FA0" w:rsidRDefault="00234FA0" w:rsidP="00234FA0">
      <w:pPr>
        <w:spacing w:line="360" w:lineRule="auto"/>
        <w:jc w:val="both"/>
        <w:rPr>
          <w:i/>
          <w:iCs/>
          <w:szCs w:val="20"/>
          <w:lang w:val="es-MX"/>
        </w:rPr>
      </w:pPr>
      <w:r w:rsidRPr="00234FA0">
        <w:rPr>
          <w:szCs w:val="20"/>
          <w:lang w:val="es-MX"/>
        </w:rPr>
        <w:t>Fuente: Elaboración propia a partir de la información obtenida por SmartPLS</w:t>
      </w:r>
      <w:r w:rsidRPr="00234FA0">
        <w:rPr>
          <w:i/>
          <w:iCs/>
          <w:szCs w:val="20"/>
          <w:lang w:val="es-MX"/>
        </w:rPr>
        <w:t>®.</w:t>
      </w:r>
    </w:p>
    <w:p w14:paraId="21A71F39" w14:textId="77777777" w:rsidR="00234FA0" w:rsidRPr="00234FA0" w:rsidRDefault="00234FA0" w:rsidP="00234FA0">
      <w:pPr>
        <w:spacing w:line="360" w:lineRule="auto"/>
        <w:jc w:val="both"/>
        <w:rPr>
          <w:iCs/>
          <w:szCs w:val="20"/>
          <w:lang w:val="es-MX"/>
        </w:rPr>
      </w:pPr>
    </w:p>
    <w:p w14:paraId="23658861" w14:textId="3B93CD0A" w:rsidR="00234FA0" w:rsidRDefault="00234FA0" w:rsidP="004346DC">
      <w:pPr>
        <w:spacing w:line="360" w:lineRule="auto"/>
        <w:ind w:firstLine="567"/>
        <w:jc w:val="both"/>
        <w:rPr>
          <w:szCs w:val="20"/>
          <w:lang w:val="es-MX"/>
        </w:rPr>
      </w:pPr>
      <w:r w:rsidRPr="00234FA0">
        <w:rPr>
          <w:szCs w:val="20"/>
          <w:lang w:val="es-MX"/>
        </w:rPr>
        <w:t>El indicador de R</w:t>
      </w:r>
      <w:r w:rsidRPr="00234FA0">
        <w:rPr>
          <w:szCs w:val="20"/>
          <w:vertAlign w:val="superscript"/>
          <w:lang w:val="es-MX"/>
        </w:rPr>
        <w:t xml:space="preserve">2  </w:t>
      </w:r>
      <w:r w:rsidRPr="00234FA0">
        <w:rPr>
          <w:szCs w:val="20"/>
          <w:lang w:val="es-MX"/>
        </w:rPr>
        <w:t xml:space="preserve">es una medida que nos permite predecir los resultados del modelo. Valores entre </w:t>
      </w:r>
      <w:r w:rsidRPr="00234FA0">
        <w:rPr>
          <w:i/>
          <w:iCs/>
          <w:szCs w:val="20"/>
          <w:lang w:val="es-MX"/>
        </w:rPr>
        <w:t>0.660 y 0.330</w:t>
      </w:r>
      <w:r w:rsidRPr="00234FA0">
        <w:rPr>
          <w:szCs w:val="20"/>
          <w:lang w:val="es-MX"/>
        </w:rPr>
        <w:t xml:space="preserve"> indica un valor explicatorio moderado del modelo. Las  seis dimensiones poseen esta característica. Otra manera de evaluar la relevancia predictiva del modelo como una medida de precisión es Q</w:t>
      </w:r>
      <w:r w:rsidRPr="00234FA0">
        <w:rPr>
          <w:szCs w:val="20"/>
          <w:vertAlign w:val="superscript"/>
          <w:lang w:val="es-MX"/>
        </w:rPr>
        <w:t>2</w:t>
      </w:r>
      <w:r w:rsidRPr="00234FA0">
        <w:rPr>
          <w:szCs w:val="20"/>
          <w:lang w:val="es-MX"/>
        </w:rPr>
        <w:t xml:space="preserve">, como medida valores mayores a 0 indican un valor predictivo aceptable </w:t>
      </w:r>
      <w:r w:rsidRPr="00234FA0">
        <w:rPr>
          <w:szCs w:val="20"/>
          <w:lang w:val="es-MX"/>
        </w:rPr>
        <w:fldChar w:fldCharType="begin" w:fldLock="1"/>
      </w:r>
      <w:r w:rsidRPr="00234FA0">
        <w:rPr>
          <w:szCs w:val="20"/>
          <w:lang w:val="es-MX"/>
        </w:rPr>
        <w:instrText xml:space="preserve">ADDIN CSL_CITATION {"citationItems":[{"id":"ITEM-1","itemData":{"DOI":"10.1108/EBR-10-2013-0128","ISBN":"10.1108/EBR-10-2013-0128","ISSN":"0955-534X","PMID":"42012058","abstract":"Purpose </w:instrText>
      </w:r>
      <w:r w:rsidRPr="00234FA0">
        <w:rPr>
          <w:rFonts w:hint="eastAsia"/>
          <w:szCs w:val="20"/>
          <w:lang w:val="es-MX"/>
        </w:rPr>
        <w:instrText>–</w:instrText>
      </w:r>
      <w:r w:rsidRPr="00234FA0">
        <w:rPr>
          <w:szCs w:val="20"/>
          <w:lang w:val="es-MX"/>
        </w:rPr>
        <w:instrText xml:space="preserve"> The authors aim to present partial least squares (PLS) as an evolving approach to structural equation modeling (SEM), highlight its advantages and limitations and provide an overview of recent research on the method across various fields. Design/methodology/approach </w:instrText>
      </w:r>
      <w:r w:rsidRPr="00234FA0">
        <w:rPr>
          <w:rFonts w:hint="eastAsia"/>
          <w:szCs w:val="20"/>
          <w:lang w:val="es-MX"/>
        </w:rPr>
        <w:instrText>–</w:instrText>
      </w:r>
      <w:r w:rsidRPr="00234FA0">
        <w:rPr>
          <w:szCs w:val="20"/>
          <w:lang w:val="es-MX"/>
        </w:rPr>
        <w:instrText xml:space="preserve">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w:instrText>
      </w:r>
      <w:r w:rsidRPr="00234FA0">
        <w:rPr>
          <w:rFonts w:hint="eastAsia"/>
          <w:szCs w:val="20"/>
          <w:lang w:val="es-MX"/>
        </w:rPr>
        <w:instrText>–</w:instrText>
      </w:r>
      <w:r w:rsidRPr="00234FA0">
        <w:rPr>
          <w:szCs w:val="20"/>
          <w:lang w:val="es-MX"/>
        </w:rPr>
        <w:instrText xml:space="preserve"> PLS-SEMhas experienced increasing dissemination ina variety offields in recent yearswith nonnormal data, small sample sizes and the use of formative indicators being themost prominent reasons for its application. Recent methodological research has extended PLS-SEM</w:instrText>
      </w:r>
      <w:r w:rsidRPr="00234FA0">
        <w:rPr>
          <w:rFonts w:hint="eastAsia"/>
          <w:szCs w:val="20"/>
          <w:lang w:val="es-MX"/>
        </w:rPr>
        <w:instrText>’</w:instrText>
      </w:r>
      <w:r w:rsidRPr="00234FA0">
        <w:rPr>
          <w:szCs w:val="20"/>
          <w:lang w:val="es-MX"/>
        </w:rPr>
        <w:instrText xml:space="preserve">s methodological toolbox to accommodate more complex model structures or handle data inadequacies such as heterogeneity. Research limitations/implications </w:instrText>
      </w:r>
      <w:r w:rsidRPr="00234FA0">
        <w:rPr>
          <w:rFonts w:hint="eastAsia"/>
          <w:szCs w:val="20"/>
          <w:lang w:val="es-MX"/>
        </w:rPr>
        <w:instrText>–</w:instrText>
      </w:r>
      <w:r w:rsidRPr="00234FA0">
        <w:rPr>
          <w:szCs w:val="20"/>
          <w:lang w:val="es-MX"/>
        </w:rPr>
        <w:instrText xml:space="preserve"> While research on the PLS-SEM method has gained momentum during the last decade, there are ample research opportunities on subjects such as mediation or multigroup analysis, which warrant further attention.","author":[{"dropping-particle":"","family":"Hair","given":"Joseph F.","non-dropping-particle":"","parse-names":false,"suffix":""},{"dropping-particle":"","family":"Sarstedt","given":"Marko","non-dropping-particle":"","parse-names":false,"suffix":""},{"dropping-particle":"","family":"Hopkins","given":"Lucas","non-dropping-particle":"","parse-names":false,"suffix":""},{"dropping-particle":"","family":"G. Kuppelwieser","given":"Volker","non-dropping-particle":"","parse-names":false,"suffix":""},{"dropping-particle":"","family":"Kuppelwieser","given":"Volker G.","non-dropping-particle":"","parse-names":false,"suffix":""},{"dropping-particle":"","family":"G. Kuppelwieser","given":"Volker","non-dropping-particle":"","parse-names":false,"suffix":""}],"container-title":"European Business Review","id":"ITEM-1","issue":"2","issued":{"date-parts":[["2014"]]},"page":"106-121","title":"Partial least squares structural equation modeling (PLS-SEM)","type":"article-journal","volume":"26"},"uris":["http://www.mendeley.com/documents/?uuid=2676cae3-40c5-4d5c-853f-3fd19e0bdebe"]},{"id":"ITEM-2","itemData":{"DOI":"10.1016/j.jfbs.2014.01.002","ISBN":"1877-8585","ISSN":"18778585","abstract":"Structural equation modeling (SEM) has become a mainstream method in many fields of business research, but its use in family business research remains in its infancy. This lag in SEM's application holds especially true for partial least squares SEM (PLS-SEM), an alternative to covariance-based SEM, which provides researchers with more flexibility in terms of data requirements, model complexity and relationship specification. This article draws attention to PLS-SEM as an opportunity to advance the development and testing of theory in family business research by providing a non-technical introduction into the basic concepts and issues of PLS-SEM, bearing the needs of potential users in mind. To this end, a systematic procedure for PLS-SEM results evaluation is presented and applied to an annotated example. The article also illustrates the analysis of mediating effects, which researchers are increasingly testing in their models. </w:instrText>
      </w:r>
      <w:r w:rsidRPr="00234FA0">
        <w:rPr>
          <w:rFonts w:hint="eastAsia"/>
          <w:szCs w:val="20"/>
          <w:lang w:val="es-MX"/>
        </w:rPr>
        <w:instrText>©</w:instrText>
      </w:r>
      <w:r w:rsidRPr="00234FA0">
        <w:rPr>
          <w:szCs w:val="20"/>
          <w:lang w:val="es-MX"/>
        </w:rPr>
        <w:instrText xml:space="preserve"> 2014 Elsevier Ltd.","author":[{"dropping-particle":"","family":"Sarstedt","given":"Marko","non-dropping-particle":"","parse-names":false,"suffix":""},{"dropping-particle":"","family":"Ringle","given":"Christian M.","non-dropping-particle":"","parse-names":false,"suffix":""},{"dropping-particle":"","family":"Smith","given":"Donna","non-dropping-particle":"","parse-names":false,"suffix":""},{"dropping-particle":"","family":"Reams","given":"Russell","non-dropping-particle":"","parse-names":false,"suffix":""},{"dropping-particle":"","family":"Hair","given":"Joseph F.","non-dropping-particle":"","parse-names":false,"suffix":""}],"container-title":"Journal of Family Business Strategy","id":"ITEM-2","issue":"1","issued":{"date-parts":[["2014"]]},"page":"105-115","publisher":"Elsevier Ltd","title":"Partial least squares structural equation modeling (PLS-SEM): A useful tool for family business researchers","type":"article-journal","volume":"5"},"uris":["http://www.mendeley.com/documents/?uuid=3a27171e-4fbf-4f5a-a02c-8e93b2690caa"]}],"mendeley":{"formattedCitation":"(Hair et al., 2014; Sarstedt et al., 2014)","plainTextFormattedCitation":"(Hair et al., 2014; Sarstedt et al., 2014)","previouslyFormattedCitation":"(Hair et al., 2014; Sarstedt et al., 2014)"},"properties":{"noteIndex":0},"schema":"https://github.com/citation-style-language/schema/raw/master/csl-citation.json"}</w:instrText>
      </w:r>
      <w:r w:rsidRPr="00234FA0">
        <w:rPr>
          <w:szCs w:val="20"/>
          <w:lang w:val="es-MX"/>
        </w:rPr>
        <w:fldChar w:fldCharType="separate"/>
      </w:r>
      <w:r w:rsidRPr="00234FA0">
        <w:rPr>
          <w:szCs w:val="20"/>
          <w:lang w:val="es-MX"/>
        </w:rPr>
        <w:t>(Hair et al., 2014; Sarstedt et al., 2014)</w:t>
      </w:r>
      <w:r w:rsidRPr="00234FA0">
        <w:rPr>
          <w:szCs w:val="20"/>
        </w:rPr>
        <w:fldChar w:fldCharType="end"/>
      </w:r>
      <w:r w:rsidRPr="00234FA0">
        <w:rPr>
          <w:szCs w:val="20"/>
          <w:lang w:val="es-MX"/>
        </w:rPr>
        <w:t>.</w:t>
      </w:r>
    </w:p>
    <w:p w14:paraId="302DB9D2" w14:textId="653E882D" w:rsidR="00D911C9" w:rsidRDefault="00D911C9" w:rsidP="004346DC">
      <w:pPr>
        <w:spacing w:line="360" w:lineRule="auto"/>
        <w:ind w:firstLine="567"/>
        <w:jc w:val="both"/>
        <w:rPr>
          <w:szCs w:val="20"/>
          <w:lang w:val="es-MX"/>
        </w:rPr>
      </w:pPr>
    </w:p>
    <w:p w14:paraId="2AFB0CDA" w14:textId="77777777" w:rsidR="00D911C9" w:rsidRPr="00234FA0" w:rsidRDefault="00D911C9" w:rsidP="004346DC">
      <w:pPr>
        <w:spacing w:line="360" w:lineRule="auto"/>
        <w:ind w:firstLine="567"/>
        <w:jc w:val="both"/>
        <w:rPr>
          <w:szCs w:val="20"/>
          <w:lang w:val="es-MX"/>
        </w:rPr>
      </w:pPr>
    </w:p>
    <w:p w14:paraId="092DAD56" w14:textId="77777777" w:rsidR="00234FA0" w:rsidRPr="00234FA0" w:rsidRDefault="00234FA0" w:rsidP="00234FA0">
      <w:pPr>
        <w:spacing w:line="360" w:lineRule="auto"/>
        <w:jc w:val="both"/>
        <w:rPr>
          <w:szCs w:val="20"/>
          <w:lang w:val="es-MX"/>
        </w:rPr>
      </w:pPr>
    </w:p>
    <w:p w14:paraId="3E708CFC" w14:textId="77777777" w:rsidR="00234FA0" w:rsidRPr="00234FA0" w:rsidRDefault="00234FA0" w:rsidP="00234FA0">
      <w:pPr>
        <w:spacing w:line="360" w:lineRule="auto"/>
        <w:jc w:val="both"/>
        <w:rPr>
          <w:szCs w:val="20"/>
          <w:lang w:val="es-MX"/>
        </w:rPr>
      </w:pPr>
      <w:r w:rsidRPr="00234FA0">
        <w:rPr>
          <w:i/>
          <w:szCs w:val="20"/>
          <w:lang w:val="es-MX"/>
        </w:rPr>
        <w:lastRenderedPageBreak/>
        <w:t>Tabla 4</w:t>
      </w:r>
      <w:r w:rsidRPr="00234FA0">
        <w:rPr>
          <w:iCs/>
          <w:szCs w:val="20"/>
          <w:lang w:val="es-MX"/>
        </w:rPr>
        <w:t xml:space="preserve">. </w:t>
      </w:r>
      <w:r w:rsidRPr="00234FA0">
        <w:rPr>
          <w:szCs w:val="20"/>
          <w:lang w:val="es-MX"/>
        </w:rPr>
        <w:t>Hipótesis, coeficientes path, valor t y significancia del modelo estructural.</w:t>
      </w:r>
    </w:p>
    <w:p w14:paraId="7EDD727D" w14:textId="77777777" w:rsidR="00234FA0" w:rsidRPr="00234FA0" w:rsidRDefault="00234FA0" w:rsidP="00234FA0">
      <w:pPr>
        <w:spacing w:line="360" w:lineRule="auto"/>
        <w:jc w:val="both"/>
        <w:rPr>
          <w:szCs w:val="20"/>
          <w:lang w:val="es-MX"/>
        </w:rPr>
      </w:pPr>
    </w:p>
    <w:tbl>
      <w:tblPr>
        <w:tblStyle w:val="Tablanormal5"/>
        <w:tblW w:w="6096" w:type="dxa"/>
        <w:jc w:val="center"/>
        <w:tblLook w:val="04A0" w:firstRow="1" w:lastRow="0" w:firstColumn="1" w:lastColumn="0" w:noHBand="0" w:noVBand="1"/>
      </w:tblPr>
      <w:tblGrid>
        <w:gridCol w:w="3119"/>
        <w:gridCol w:w="756"/>
        <w:gridCol w:w="576"/>
        <w:gridCol w:w="2127"/>
      </w:tblGrid>
      <w:tr w:rsidR="00234FA0" w:rsidRPr="00234FA0" w14:paraId="6F9AAB5A" w14:textId="77777777" w:rsidTr="00D31F93">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100" w:firstRow="0" w:lastRow="0" w:firstColumn="1" w:lastColumn="0" w:oddVBand="0" w:evenVBand="0" w:oddHBand="0" w:evenHBand="0" w:firstRowFirstColumn="1" w:firstRowLastColumn="0" w:lastRowFirstColumn="0" w:lastRowLastColumn="0"/>
            <w:tcW w:w="3119" w:type="dxa"/>
            <w:noWrap/>
            <w:hideMark/>
          </w:tcPr>
          <w:p w14:paraId="107E288A" w14:textId="77777777" w:rsidR="00234FA0" w:rsidRPr="00234FA0" w:rsidRDefault="00234FA0" w:rsidP="00234FA0">
            <w:pPr>
              <w:spacing w:line="360" w:lineRule="auto"/>
              <w:jc w:val="both"/>
              <w:rPr>
                <w:szCs w:val="20"/>
                <w:lang w:val="es-MX"/>
              </w:rPr>
            </w:pPr>
            <w:r w:rsidRPr="00234FA0">
              <w:rPr>
                <w:szCs w:val="20"/>
                <w:lang w:val="es-MX"/>
              </w:rPr>
              <w:t>Relaciones e Hipótesis</w:t>
            </w:r>
          </w:p>
        </w:tc>
        <w:tc>
          <w:tcPr>
            <w:tcW w:w="850" w:type="dxa"/>
            <w:gridSpan w:val="2"/>
            <w:noWrap/>
            <w:hideMark/>
          </w:tcPr>
          <w:p w14:paraId="52E5E4D0"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szCs w:val="20"/>
                <w:lang w:val="es-MX"/>
              </w:rPr>
            </w:pPr>
            <w:r w:rsidRPr="00234FA0">
              <w:rPr>
                <w:szCs w:val="20"/>
                <w:lang w:val="es-MX"/>
              </w:rPr>
              <w:t>Coeficiente Path</w:t>
            </w:r>
          </w:p>
        </w:tc>
        <w:tc>
          <w:tcPr>
            <w:tcW w:w="2127" w:type="dxa"/>
            <w:noWrap/>
            <w:hideMark/>
          </w:tcPr>
          <w:p w14:paraId="5887DF9F" w14:textId="77777777" w:rsidR="00234FA0" w:rsidRPr="00234FA0" w:rsidRDefault="00234FA0" w:rsidP="00234FA0">
            <w:pPr>
              <w:spacing w:line="360" w:lineRule="auto"/>
              <w:jc w:val="both"/>
              <w:cnfStyle w:val="100000000000" w:firstRow="1" w:lastRow="0" w:firstColumn="0" w:lastColumn="0" w:oddVBand="0" w:evenVBand="0" w:oddHBand="0" w:evenHBand="0" w:firstRowFirstColumn="0" w:firstRowLastColumn="0" w:lastRowFirstColumn="0" w:lastRowLastColumn="0"/>
              <w:rPr>
                <w:szCs w:val="20"/>
                <w:lang w:val="es-MX"/>
              </w:rPr>
            </w:pPr>
            <w:r w:rsidRPr="00234FA0">
              <w:rPr>
                <w:szCs w:val="20"/>
                <w:lang w:val="es-MX"/>
              </w:rPr>
              <w:t>Valores t</w:t>
            </w:r>
          </w:p>
        </w:tc>
      </w:tr>
      <w:tr w:rsidR="00234FA0" w:rsidRPr="00234FA0" w14:paraId="11C0DC7A" w14:textId="77777777" w:rsidTr="00D31F9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BAC9EAC" w14:textId="77777777" w:rsidR="00234FA0" w:rsidRPr="00234FA0" w:rsidRDefault="00234FA0" w:rsidP="004346DC">
            <w:pPr>
              <w:spacing w:line="360" w:lineRule="auto"/>
              <w:jc w:val="left"/>
              <w:rPr>
                <w:szCs w:val="20"/>
                <w:lang w:val="es-MX"/>
              </w:rPr>
            </w:pPr>
            <w:r w:rsidRPr="00234FA0">
              <w:rPr>
                <w:szCs w:val="20"/>
                <w:lang w:val="es-MX"/>
              </w:rPr>
              <w:t>Hip. 1. Coeficiente de Innovación &gt; Valores</w:t>
            </w:r>
          </w:p>
          <w:p w14:paraId="484FF371" w14:textId="77777777" w:rsidR="00234FA0" w:rsidRPr="00234FA0" w:rsidRDefault="00234FA0" w:rsidP="004346DC">
            <w:pPr>
              <w:spacing w:line="360" w:lineRule="auto"/>
              <w:jc w:val="left"/>
              <w:rPr>
                <w:szCs w:val="20"/>
                <w:lang w:val="es-MX"/>
              </w:rPr>
            </w:pPr>
          </w:p>
        </w:tc>
        <w:tc>
          <w:tcPr>
            <w:tcW w:w="313" w:type="dxa"/>
            <w:noWrap/>
            <w:hideMark/>
          </w:tcPr>
          <w:p w14:paraId="3E3B106A"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0.790</w:t>
            </w:r>
          </w:p>
        </w:tc>
        <w:tc>
          <w:tcPr>
            <w:tcW w:w="537" w:type="dxa"/>
            <w:noWrap/>
            <w:hideMark/>
          </w:tcPr>
          <w:p w14:paraId="7AF18E97"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w:t>
            </w:r>
          </w:p>
        </w:tc>
        <w:tc>
          <w:tcPr>
            <w:tcW w:w="2127" w:type="dxa"/>
            <w:noWrap/>
            <w:hideMark/>
          </w:tcPr>
          <w:p w14:paraId="1FF84020"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20.926</w:t>
            </w:r>
          </w:p>
        </w:tc>
      </w:tr>
      <w:tr w:rsidR="00234FA0" w:rsidRPr="00234FA0" w14:paraId="33666B67" w14:textId="77777777" w:rsidTr="00D31F93">
        <w:trPr>
          <w:trHeight w:val="30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ED6E76C" w14:textId="77777777" w:rsidR="00234FA0" w:rsidRPr="00234FA0" w:rsidRDefault="00234FA0" w:rsidP="004346DC">
            <w:pPr>
              <w:spacing w:line="360" w:lineRule="auto"/>
              <w:jc w:val="left"/>
              <w:rPr>
                <w:szCs w:val="20"/>
                <w:lang w:val="es-MX"/>
              </w:rPr>
            </w:pPr>
            <w:r w:rsidRPr="00234FA0">
              <w:rPr>
                <w:szCs w:val="20"/>
                <w:lang w:val="es-MX"/>
              </w:rPr>
              <w:t xml:space="preserve">Hip. 2. Coeficiente de Innovación &gt; Comportamientos </w:t>
            </w:r>
          </w:p>
        </w:tc>
        <w:tc>
          <w:tcPr>
            <w:tcW w:w="313" w:type="dxa"/>
            <w:noWrap/>
            <w:hideMark/>
          </w:tcPr>
          <w:p w14:paraId="0578EF6F"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0.842</w:t>
            </w:r>
          </w:p>
        </w:tc>
        <w:tc>
          <w:tcPr>
            <w:tcW w:w="537" w:type="dxa"/>
            <w:noWrap/>
            <w:hideMark/>
          </w:tcPr>
          <w:p w14:paraId="0B861699"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w:t>
            </w:r>
          </w:p>
        </w:tc>
        <w:tc>
          <w:tcPr>
            <w:tcW w:w="2127" w:type="dxa"/>
            <w:noWrap/>
            <w:hideMark/>
          </w:tcPr>
          <w:p w14:paraId="321D9192"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27.972</w:t>
            </w:r>
          </w:p>
        </w:tc>
      </w:tr>
      <w:tr w:rsidR="00234FA0" w:rsidRPr="00234FA0" w14:paraId="2E2A84C8" w14:textId="77777777" w:rsidTr="00D31F9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B330E54" w14:textId="77777777" w:rsidR="00234FA0" w:rsidRPr="00234FA0" w:rsidRDefault="00234FA0" w:rsidP="004346DC">
            <w:pPr>
              <w:spacing w:line="360" w:lineRule="auto"/>
              <w:jc w:val="left"/>
              <w:rPr>
                <w:szCs w:val="20"/>
                <w:lang w:val="es-MX"/>
              </w:rPr>
            </w:pPr>
            <w:r w:rsidRPr="00234FA0">
              <w:rPr>
                <w:szCs w:val="20"/>
                <w:lang w:val="es-MX"/>
              </w:rPr>
              <w:t>Hip. 3. Coeficiente de Innovación &gt; Clima Laboral</w:t>
            </w:r>
          </w:p>
        </w:tc>
        <w:tc>
          <w:tcPr>
            <w:tcW w:w="313" w:type="dxa"/>
            <w:noWrap/>
            <w:hideMark/>
          </w:tcPr>
          <w:p w14:paraId="70B9AA64"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0.856</w:t>
            </w:r>
          </w:p>
        </w:tc>
        <w:tc>
          <w:tcPr>
            <w:tcW w:w="537" w:type="dxa"/>
            <w:noWrap/>
            <w:hideMark/>
          </w:tcPr>
          <w:p w14:paraId="1DCAC487"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w:t>
            </w:r>
          </w:p>
        </w:tc>
        <w:tc>
          <w:tcPr>
            <w:tcW w:w="2127" w:type="dxa"/>
            <w:noWrap/>
            <w:hideMark/>
          </w:tcPr>
          <w:p w14:paraId="06E22ED0"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39.690</w:t>
            </w:r>
          </w:p>
        </w:tc>
      </w:tr>
      <w:tr w:rsidR="00234FA0" w:rsidRPr="00234FA0" w14:paraId="585B706F" w14:textId="77777777" w:rsidTr="00D31F93">
        <w:trPr>
          <w:trHeight w:val="30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034AE5F" w14:textId="77777777" w:rsidR="00234FA0" w:rsidRPr="00234FA0" w:rsidRDefault="00234FA0" w:rsidP="004346DC">
            <w:pPr>
              <w:spacing w:line="360" w:lineRule="auto"/>
              <w:jc w:val="left"/>
              <w:rPr>
                <w:szCs w:val="20"/>
                <w:lang w:val="es-MX"/>
              </w:rPr>
            </w:pPr>
            <w:r w:rsidRPr="00234FA0">
              <w:rPr>
                <w:szCs w:val="20"/>
                <w:lang w:val="es-MX"/>
              </w:rPr>
              <w:t xml:space="preserve">Hip. 4. Coeficiente de Innovación &gt; Recursos </w:t>
            </w:r>
          </w:p>
        </w:tc>
        <w:tc>
          <w:tcPr>
            <w:tcW w:w="313" w:type="dxa"/>
            <w:noWrap/>
            <w:hideMark/>
          </w:tcPr>
          <w:p w14:paraId="70123173"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0.943</w:t>
            </w:r>
          </w:p>
        </w:tc>
        <w:tc>
          <w:tcPr>
            <w:tcW w:w="537" w:type="dxa"/>
            <w:noWrap/>
            <w:hideMark/>
          </w:tcPr>
          <w:p w14:paraId="04FFF8CD"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w:t>
            </w:r>
          </w:p>
        </w:tc>
        <w:tc>
          <w:tcPr>
            <w:tcW w:w="2127" w:type="dxa"/>
            <w:noWrap/>
            <w:hideMark/>
          </w:tcPr>
          <w:p w14:paraId="6AF872DD"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115.718</w:t>
            </w:r>
          </w:p>
        </w:tc>
      </w:tr>
      <w:tr w:rsidR="00234FA0" w:rsidRPr="00234FA0" w14:paraId="2952E680" w14:textId="77777777" w:rsidTr="00D31F9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6F53EBF" w14:textId="77777777" w:rsidR="00234FA0" w:rsidRPr="00234FA0" w:rsidRDefault="00234FA0" w:rsidP="004346DC">
            <w:pPr>
              <w:spacing w:line="360" w:lineRule="auto"/>
              <w:jc w:val="left"/>
              <w:rPr>
                <w:szCs w:val="20"/>
                <w:lang w:val="es-MX"/>
              </w:rPr>
            </w:pPr>
            <w:r w:rsidRPr="00234FA0">
              <w:rPr>
                <w:szCs w:val="20"/>
                <w:lang w:val="es-MX"/>
              </w:rPr>
              <w:t xml:space="preserve">Hip. 5. Coeficiente de Innovación &gt; Procesos </w:t>
            </w:r>
          </w:p>
        </w:tc>
        <w:tc>
          <w:tcPr>
            <w:tcW w:w="313" w:type="dxa"/>
            <w:noWrap/>
            <w:hideMark/>
          </w:tcPr>
          <w:p w14:paraId="4974F8DB"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0.890</w:t>
            </w:r>
          </w:p>
        </w:tc>
        <w:tc>
          <w:tcPr>
            <w:tcW w:w="537" w:type="dxa"/>
            <w:noWrap/>
            <w:hideMark/>
          </w:tcPr>
          <w:p w14:paraId="277BD0BD"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w:t>
            </w:r>
          </w:p>
        </w:tc>
        <w:tc>
          <w:tcPr>
            <w:tcW w:w="2127" w:type="dxa"/>
            <w:noWrap/>
            <w:hideMark/>
          </w:tcPr>
          <w:p w14:paraId="54039AB5" w14:textId="77777777" w:rsidR="00234FA0" w:rsidRPr="00234FA0" w:rsidRDefault="00234FA0" w:rsidP="00234FA0">
            <w:pPr>
              <w:spacing w:line="360" w:lineRule="auto"/>
              <w:jc w:val="both"/>
              <w:cnfStyle w:val="000000100000" w:firstRow="0" w:lastRow="0" w:firstColumn="0" w:lastColumn="0" w:oddVBand="0" w:evenVBand="0" w:oddHBand="1" w:evenHBand="0" w:firstRowFirstColumn="0" w:firstRowLastColumn="0" w:lastRowFirstColumn="0" w:lastRowLastColumn="0"/>
              <w:rPr>
                <w:szCs w:val="20"/>
                <w:lang w:val="es-MX"/>
              </w:rPr>
            </w:pPr>
            <w:r w:rsidRPr="00234FA0">
              <w:rPr>
                <w:szCs w:val="20"/>
                <w:lang w:val="es-MX"/>
              </w:rPr>
              <w:t>48.322</w:t>
            </w:r>
          </w:p>
        </w:tc>
      </w:tr>
      <w:tr w:rsidR="00234FA0" w:rsidRPr="00234FA0" w14:paraId="709334D8" w14:textId="77777777" w:rsidTr="00D31F93">
        <w:trPr>
          <w:trHeight w:val="305"/>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C6180AF" w14:textId="77777777" w:rsidR="00234FA0" w:rsidRPr="00234FA0" w:rsidRDefault="00234FA0" w:rsidP="004346DC">
            <w:pPr>
              <w:spacing w:line="360" w:lineRule="auto"/>
              <w:jc w:val="left"/>
              <w:rPr>
                <w:szCs w:val="20"/>
                <w:lang w:val="es-MX"/>
              </w:rPr>
            </w:pPr>
            <w:r w:rsidRPr="00234FA0">
              <w:rPr>
                <w:szCs w:val="20"/>
                <w:lang w:val="es-MX"/>
              </w:rPr>
              <w:t>Hip. 6. Coeficiente de Innovación &gt; Éxitos</w:t>
            </w:r>
          </w:p>
        </w:tc>
        <w:tc>
          <w:tcPr>
            <w:tcW w:w="313" w:type="dxa"/>
            <w:noWrap/>
            <w:hideMark/>
          </w:tcPr>
          <w:p w14:paraId="73929EA6"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0.890</w:t>
            </w:r>
          </w:p>
        </w:tc>
        <w:tc>
          <w:tcPr>
            <w:tcW w:w="537" w:type="dxa"/>
            <w:noWrap/>
            <w:hideMark/>
          </w:tcPr>
          <w:p w14:paraId="5ADD47DB"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w:t>
            </w:r>
          </w:p>
        </w:tc>
        <w:tc>
          <w:tcPr>
            <w:tcW w:w="2127" w:type="dxa"/>
            <w:noWrap/>
            <w:hideMark/>
          </w:tcPr>
          <w:p w14:paraId="761A78A4" w14:textId="77777777" w:rsidR="00234FA0" w:rsidRPr="00234FA0" w:rsidRDefault="00234FA0" w:rsidP="00234FA0">
            <w:pPr>
              <w:spacing w:line="360" w:lineRule="auto"/>
              <w:jc w:val="both"/>
              <w:cnfStyle w:val="000000000000" w:firstRow="0" w:lastRow="0" w:firstColumn="0" w:lastColumn="0" w:oddVBand="0" w:evenVBand="0" w:oddHBand="0" w:evenHBand="0" w:firstRowFirstColumn="0" w:firstRowLastColumn="0" w:lastRowFirstColumn="0" w:lastRowLastColumn="0"/>
              <w:rPr>
                <w:szCs w:val="20"/>
                <w:lang w:val="es-MX"/>
              </w:rPr>
            </w:pPr>
            <w:r w:rsidRPr="00234FA0">
              <w:rPr>
                <w:szCs w:val="20"/>
                <w:lang w:val="es-MX"/>
              </w:rPr>
              <w:t>49.927</w:t>
            </w:r>
          </w:p>
        </w:tc>
      </w:tr>
    </w:tbl>
    <w:p w14:paraId="5A5F39AE" w14:textId="77777777" w:rsidR="00234FA0" w:rsidRPr="00234FA0" w:rsidRDefault="00234FA0" w:rsidP="00234FA0">
      <w:pPr>
        <w:spacing w:line="360" w:lineRule="auto"/>
        <w:jc w:val="both"/>
        <w:rPr>
          <w:i/>
          <w:iCs/>
          <w:szCs w:val="20"/>
          <w:lang w:val="es-MX"/>
        </w:rPr>
      </w:pPr>
      <w:r w:rsidRPr="00234FA0">
        <w:rPr>
          <w:szCs w:val="20"/>
          <w:lang w:val="es-MX"/>
        </w:rPr>
        <w:t>***  p &lt; 0.001. Fuente: Elaboración propia a partir de la información obtenida por SmartPLS</w:t>
      </w:r>
      <w:r w:rsidRPr="00234FA0">
        <w:rPr>
          <w:i/>
          <w:iCs/>
          <w:szCs w:val="20"/>
          <w:lang w:val="es-MX"/>
        </w:rPr>
        <w:t>®.</w:t>
      </w:r>
    </w:p>
    <w:p w14:paraId="1234A1C1" w14:textId="77777777" w:rsidR="00234FA0" w:rsidRPr="00234FA0" w:rsidRDefault="00234FA0" w:rsidP="00234FA0">
      <w:pPr>
        <w:spacing w:line="360" w:lineRule="auto"/>
        <w:jc w:val="both"/>
        <w:rPr>
          <w:i/>
          <w:iCs/>
          <w:szCs w:val="20"/>
          <w:lang w:val="es-MX"/>
        </w:rPr>
      </w:pPr>
    </w:p>
    <w:p w14:paraId="082E1EEA" w14:textId="77777777" w:rsidR="00234FA0" w:rsidRPr="00234FA0" w:rsidRDefault="00234FA0" w:rsidP="00234FA0">
      <w:pPr>
        <w:spacing w:line="360" w:lineRule="auto"/>
        <w:jc w:val="both"/>
        <w:rPr>
          <w:i/>
          <w:iCs/>
          <w:szCs w:val="20"/>
          <w:lang w:val="es-MX"/>
        </w:rPr>
      </w:pPr>
    </w:p>
    <w:p w14:paraId="6C64BA84" w14:textId="77777777" w:rsidR="00234FA0" w:rsidRPr="00234FA0" w:rsidRDefault="00234FA0" w:rsidP="004346DC">
      <w:pPr>
        <w:spacing w:line="360" w:lineRule="auto"/>
        <w:ind w:firstLine="567"/>
        <w:jc w:val="both"/>
        <w:rPr>
          <w:szCs w:val="20"/>
          <w:lang w:val="es-MX"/>
        </w:rPr>
      </w:pPr>
      <w:r w:rsidRPr="00234FA0">
        <w:rPr>
          <w:szCs w:val="20"/>
          <w:lang w:val="es-MX"/>
        </w:rPr>
        <w:t xml:space="preserve">Se llevó a cabo el bootstrapping con 5,000 submuestras </w:t>
      </w:r>
      <w:r w:rsidRPr="00234FA0">
        <w:rPr>
          <w:szCs w:val="20"/>
          <w:lang w:val="es-MX"/>
        </w:rPr>
        <w:fldChar w:fldCharType="begin" w:fldLock="1"/>
      </w:r>
      <w:r w:rsidRPr="00234FA0">
        <w:rPr>
          <w:szCs w:val="20"/>
          <w:lang w:val="es-MX"/>
        </w:rPr>
        <w:instrText xml:space="preserve">ADDIN CSL_CITATION {"citationItems":[{"id":"ITEM-1","itemData":{"DOI":"10.1108/EBR-10-2013-0128","ISBN":"10.1108/EBR-10-2013-0128","ISSN":"0955-534X","PMID":"42012058","abstract":"Purpose </w:instrText>
      </w:r>
      <w:r w:rsidRPr="00234FA0">
        <w:rPr>
          <w:rFonts w:hint="eastAsia"/>
          <w:szCs w:val="20"/>
          <w:lang w:val="es-MX"/>
        </w:rPr>
        <w:instrText>–</w:instrText>
      </w:r>
      <w:r w:rsidRPr="00234FA0">
        <w:rPr>
          <w:szCs w:val="20"/>
          <w:lang w:val="es-MX"/>
        </w:rPr>
        <w:instrText xml:space="preserve"> The authors aim to present partial least squares (PLS) as an evolving approach to structural equation modeling (SEM), highlight its advantages and limitations and provide an overview of recent research on the method across various fields. Design/methodology/approach </w:instrText>
      </w:r>
      <w:r w:rsidRPr="00234FA0">
        <w:rPr>
          <w:rFonts w:hint="eastAsia"/>
          <w:szCs w:val="20"/>
          <w:lang w:val="es-MX"/>
        </w:rPr>
        <w:instrText>–</w:instrText>
      </w:r>
      <w:r w:rsidRPr="00234FA0">
        <w:rPr>
          <w:szCs w:val="20"/>
          <w:lang w:val="es-MX"/>
        </w:rPr>
        <w:instrText xml:space="preserve">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w:instrText>
      </w:r>
      <w:r w:rsidRPr="00234FA0">
        <w:rPr>
          <w:rFonts w:hint="eastAsia"/>
          <w:szCs w:val="20"/>
          <w:lang w:val="es-MX"/>
        </w:rPr>
        <w:instrText>–</w:instrText>
      </w:r>
      <w:r w:rsidRPr="00234FA0">
        <w:rPr>
          <w:szCs w:val="20"/>
          <w:lang w:val="es-MX"/>
        </w:rPr>
        <w:instrText xml:space="preserve"> PLS-SEMhas experienced increasing dissemination ina variety offields in recent yearswith nonnormal data, small sample sizes and the use of formative indicators being themost prominent reasons for its application. Recent methodological research has extended PLS-SEM</w:instrText>
      </w:r>
      <w:r w:rsidRPr="00234FA0">
        <w:rPr>
          <w:rFonts w:hint="eastAsia"/>
          <w:szCs w:val="20"/>
          <w:lang w:val="es-MX"/>
        </w:rPr>
        <w:instrText>’</w:instrText>
      </w:r>
      <w:r w:rsidRPr="00234FA0">
        <w:rPr>
          <w:szCs w:val="20"/>
          <w:lang w:val="es-MX"/>
        </w:rPr>
        <w:instrText xml:space="preserve">s methodological toolbox to accommodate more complex model structures or handle data inadequacies such as heterogeneity. Research limitations/implications </w:instrText>
      </w:r>
      <w:r w:rsidRPr="00234FA0">
        <w:rPr>
          <w:rFonts w:hint="eastAsia"/>
          <w:szCs w:val="20"/>
          <w:lang w:val="es-MX"/>
        </w:rPr>
        <w:instrText>–</w:instrText>
      </w:r>
      <w:r w:rsidRPr="00234FA0">
        <w:rPr>
          <w:szCs w:val="20"/>
          <w:lang w:val="es-MX"/>
        </w:rPr>
        <w:instrText xml:space="preserve"> While research on the PLS-SEM method has gained momentum during the last decade, there are ample research opportunities on subjects such as mediation or multigroup analysis, which warrant further attention.","author":[{"dropping-particle":"","family":"Hair","given":"Joseph F.","non-dropping-particle":"","parse-names":false,"suffix":""},{"dropping-particle":"","family":"Sarstedt","given":"Marko","non-dropping-particle":"","parse-names":false,"suffix":""},{"dropping-particle":"","family":"Hopkins","given":"Lucas","non-dropping-particle":"","parse-names":false,"suffix":""},{"dropping-particle":"","family":"G. Kuppelwieser","given":"Volker","non-dropping-particle":"","parse-names":false,"suffix":""},{"dropping-particle":"","family":"Kuppelwieser","given":"Volker G.","non-dropping-particle":"","parse-names":false,"suffix":""},{"dropping-particle":"","family":"G. Kuppelwieser","given":"Volker","non-dropping-particle":"","parse-names":false,"suffix":""}],"container-title":"European Business Review","id":"ITEM-1","issue":"2","issued":{"date-parts":[["2014"]]},"page":"106-121","title":"Partial least squares structural equation modeling (PLS-SEM)","type":"article-journal","volume":"26"},"uris":["http://www.mendeley.com/documents/?uuid=2676cae3-40c5-4d5c-853f-3fd19e0bdebe"]}],"mendeley":{"formattedCitation":"(Hair et al., 2014)","plainTextFormattedCitation":"(Hair et al., 2014)","previouslyFormattedCitation":"(Hair et al., 2014)"},"properties":{"noteIndex":0},"schema":"https://github.com/citation-style-language/schema/raw/master/csl-citation.json"}</w:instrText>
      </w:r>
      <w:r w:rsidRPr="00234FA0">
        <w:rPr>
          <w:szCs w:val="20"/>
          <w:lang w:val="es-MX"/>
        </w:rPr>
        <w:fldChar w:fldCharType="separate"/>
      </w:r>
      <w:r w:rsidRPr="00234FA0">
        <w:rPr>
          <w:szCs w:val="20"/>
          <w:lang w:val="es-MX"/>
        </w:rPr>
        <w:t>(Hair et al., 2014)</w:t>
      </w:r>
      <w:r w:rsidRPr="00234FA0">
        <w:rPr>
          <w:szCs w:val="20"/>
        </w:rPr>
        <w:fldChar w:fldCharType="end"/>
      </w:r>
      <w:r w:rsidRPr="00234FA0">
        <w:rPr>
          <w:szCs w:val="20"/>
          <w:lang w:val="es-MX"/>
        </w:rPr>
        <w:t xml:space="preserve"> obteniendo seis relaciones entre las variables (véase tabla 4). A través de los resultados puede observarse el CI es reflejado de manera </w:t>
      </w:r>
      <w:r w:rsidRPr="00234FA0">
        <w:rPr>
          <w:i/>
          <w:iCs/>
          <w:szCs w:val="20"/>
          <w:lang w:val="es-MX"/>
        </w:rPr>
        <w:t>positiva y significativa</w:t>
      </w:r>
      <w:r w:rsidRPr="00234FA0">
        <w:rPr>
          <w:szCs w:val="20"/>
          <w:lang w:val="es-MX"/>
        </w:rPr>
        <w:t xml:space="preserve"> con un mayor coeficiente por la dimensiones de Recursos (0.943), Procesos (0.890) y Éxitos (0.890). </w:t>
      </w:r>
    </w:p>
    <w:p w14:paraId="3220D6D6" w14:textId="77777777" w:rsidR="005C1920" w:rsidRPr="005C1920" w:rsidRDefault="005C1920" w:rsidP="005C1920">
      <w:pPr>
        <w:spacing w:line="360" w:lineRule="auto"/>
        <w:rPr>
          <w:rFonts w:ascii="Arial" w:hAnsi="Arial" w:cs="Arial"/>
          <w:sz w:val="20"/>
          <w:szCs w:val="20"/>
        </w:rPr>
      </w:pPr>
    </w:p>
    <w:p w14:paraId="30DE962D" w14:textId="061E5AF9" w:rsidR="005C1920" w:rsidRPr="00B60952" w:rsidRDefault="00B60952" w:rsidP="005C1920">
      <w:pPr>
        <w:spacing w:line="360" w:lineRule="auto"/>
        <w:rPr>
          <w:b/>
          <w:color w:val="244061"/>
          <w:sz w:val="28"/>
        </w:rPr>
      </w:pPr>
      <w:r>
        <w:rPr>
          <w:b/>
          <w:color w:val="244061"/>
          <w:sz w:val="28"/>
        </w:rPr>
        <w:t>4</w:t>
      </w:r>
      <w:r w:rsidR="005C1920" w:rsidRPr="00B60952">
        <w:rPr>
          <w:b/>
          <w:color w:val="244061"/>
          <w:sz w:val="28"/>
        </w:rPr>
        <w:t>. Resultados</w:t>
      </w:r>
    </w:p>
    <w:p w14:paraId="0B16E377" w14:textId="77777777" w:rsidR="00234FA0" w:rsidRPr="00234FA0" w:rsidRDefault="00234FA0" w:rsidP="004346DC">
      <w:pPr>
        <w:spacing w:line="360" w:lineRule="auto"/>
        <w:ind w:firstLine="567"/>
        <w:rPr>
          <w:szCs w:val="20"/>
          <w:lang w:val="es-MX"/>
        </w:rPr>
      </w:pPr>
      <w:r w:rsidRPr="00234FA0">
        <w:rPr>
          <w:szCs w:val="20"/>
          <w:lang w:val="es-MX"/>
        </w:rPr>
        <w:t xml:space="preserve">En lo que corresponde a un análisis de frecuencia, los resultados indican que más del 50% de las empresas encuestadas representan a micro-pequeñas empresas que poseen entre 10 a 50 trabajadores. </w:t>
      </w:r>
    </w:p>
    <w:p w14:paraId="08210B2D" w14:textId="77777777" w:rsidR="00234FA0" w:rsidRPr="00234FA0" w:rsidRDefault="00234FA0" w:rsidP="00234FA0">
      <w:pPr>
        <w:spacing w:line="360" w:lineRule="auto"/>
        <w:rPr>
          <w:b/>
          <w:bCs/>
          <w:szCs w:val="20"/>
          <w:lang w:val="es-MX"/>
        </w:rPr>
      </w:pPr>
    </w:p>
    <w:p w14:paraId="76B660A3" w14:textId="77777777" w:rsidR="00234FA0" w:rsidRPr="00234FA0" w:rsidRDefault="00234FA0" w:rsidP="00234FA0">
      <w:pPr>
        <w:spacing w:line="360" w:lineRule="auto"/>
        <w:rPr>
          <w:szCs w:val="20"/>
          <w:lang w:val="es-MX"/>
        </w:rPr>
      </w:pPr>
      <w:r w:rsidRPr="00234FA0">
        <w:rPr>
          <w:noProof/>
          <w:szCs w:val="20"/>
          <w:lang w:val="es-MX"/>
        </w:rPr>
        <w:lastRenderedPageBreak/>
        <w:drawing>
          <wp:inline distT="0" distB="0" distL="0" distR="0" wp14:anchorId="71353090" wp14:editId="2094F2AF">
            <wp:extent cx="2198914" cy="809863"/>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33" t="23232" r="11383" b="7287"/>
                    <a:stretch/>
                  </pic:blipFill>
                  <pic:spPr bwMode="auto">
                    <a:xfrm>
                      <a:off x="0" y="0"/>
                      <a:ext cx="2223963" cy="819089"/>
                    </a:xfrm>
                    <a:prstGeom prst="rect">
                      <a:avLst/>
                    </a:prstGeom>
                    <a:noFill/>
                    <a:ln>
                      <a:noFill/>
                    </a:ln>
                    <a:extLst>
                      <a:ext uri="{53640926-AAD7-44D8-BBD7-CCE9431645EC}">
                        <a14:shadowObscured xmlns:a14="http://schemas.microsoft.com/office/drawing/2010/main"/>
                      </a:ext>
                    </a:extLst>
                  </pic:spPr>
                </pic:pic>
              </a:graphicData>
            </a:graphic>
          </wp:inline>
        </w:drawing>
      </w:r>
    </w:p>
    <w:p w14:paraId="4DA63C42" w14:textId="60FEEE7A" w:rsidR="00234FA0" w:rsidRPr="00234FA0" w:rsidRDefault="00234FA0" w:rsidP="00234FA0">
      <w:pPr>
        <w:spacing w:line="360" w:lineRule="auto"/>
        <w:rPr>
          <w:szCs w:val="20"/>
          <w:lang w:val="es-MX"/>
        </w:rPr>
      </w:pPr>
      <w:r w:rsidRPr="00234FA0">
        <w:rPr>
          <w:szCs w:val="20"/>
          <w:lang w:val="es-MX"/>
        </w:rPr>
        <w:t>Figura 3. Porcentaje de muestra de empresas entrevistadas por número de trabajadores. Fuente: Elaboración propia con herramientas de Google.</w:t>
      </w:r>
    </w:p>
    <w:p w14:paraId="7D62914E" w14:textId="77777777" w:rsidR="00234FA0" w:rsidRPr="00234FA0" w:rsidRDefault="00234FA0" w:rsidP="00234FA0">
      <w:pPr>
        <w:spacing w:line="360" w:lineRule="auto"/>
        <w:rPr>
          <w:szCs w:val="20"/>
          <w:lang w:val="es-MX"/>
        </w:rPr>
      </w:pPr>
    </w:p>
    <w:p w14:paraId="496D5BAA" w14:textId="77777777" w:rsidR="00234FA0" w:rsidRPr="00234FA0" w:rsidRDefault="00234FA0" w:rsidP="00234FA0">
      <w:pPr>
        <w:spacing w:line="360" w:lineRule="auto"/>
        <w:rPr>
          <w:szCs w:val="20"/>
          <w:lang w:val="es-MX"/>
        </w:rPr>
      </w:pPr>
      <w:r w:rsidRPr="00234FA0">
        <w:rPr>
          <w:noProof/>
          <w:szCs w:val="20"/>
          <w:lang w:val="es-MX"/>
        </w:rPr>
        <w:drawing>
          <wp:inline distT="0" distB="0" distL="0" distR="0" wp14:anchorId="0D2EEC7C" wp14:editId="5C32FA68">
            <wp:extent cx="2209800" cy="8229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87" t="22371" r="7762" b="7933"/>
                    <a:stretch/>
                  </pic:blipFill>
                  <pic:spPr bwMode="auto">
                    <a:xfrm>
                      <a:off x="0" y="0"/>
                      <a:ext cx="2246966" cy="836801"/>
                    </a:xfrm>
                    <a:prstGeom prst="rect">
                      <a:avLst/>
                    </a:prstGeom>
                    <a:noFill/>
                    <a:ln>
                      <a:noFill/>
                    </a:ln>
                    <a:extLst>
                      <a:ext uri="{53640926-AAD7-44D8-BBD7-CCE9431645EC}">
                        <a14:shadowObscured xmlns:a14="http://schemas.microsoft.com/office/drawing/2010/main"/>
                      </a:ext>
                    </a:extLst>
                  </pic:spPr>
                </pic:pic>
              </a:graphicData>
            </a:graphic>
          </wp:inline>
        </w:drawing>
      </w:r>
    </w:p>
    <w:p w14:paraId="03626C31" w14:textId="794B8374" w:rsidR="00234FA0" w:rsidRPr="00234FA0" w:rsidRDefault="00234FA0" w:rsidP="004346DC">
      <w:pPr>
        <w:spacing w:line="360" w:lineRule="auto"/>
        <w:jc w:val="both"/>
        <w:rPr>
          <w:szCs w:val="20"/>
          <w:lang w:val="es-MX"/>
        </w:rPr>
      </w:pPr>
      <w:r w:rsidRPr="00234FA0">
        <w:rPr>
          <w:szCs w:val="20"/>
          <w:lang w:val="es-MX"/>
        </w:rPr>
        <w:t xml:space="preserve">Figura 4. Porcentaje de muestra de personas entrevistadas por escolaridad. </w:t>
      </w:r>
      <w:r w:rsidR="004346DC">
        <w:rPr>
          <w:szCs w:val="20"/>
          <w:lang w:val="es-MX"/>
        </w:rPr>
        <w:t xml:space="preserve"> </w:t>
      </w:r>
      <w:r w:rsidRPr="00234FA0">
        <w:rPr>
          <w:szCs w:val="20"/>
          <w:lang w:val="es-MX"/>
        </w:rPr>
        <w:t>Fuente: Elaboración propia con herramientas de Google.</w:t>
      </w:r>
    </w:p>
    <w:p w14:paraId="71DD48B3" w14:textId="77777777" w:rsidR="00234FA0" w:rsidRPr="00234FA0" w:rsidRDefault="00234FA0" w:rsidP="00234FA0">
      <w:pPr>
        <w:spacing w:line="360" w:lineRule="auto"/>
        <w:rPr>
          <w:szCs w:val="20"/>
          <w:lang w:val="es-MX"/>
        </w:rPr>
      </w:pPr>
    </w:p>
    <w:p w14:paraId="513ADE02" w14:textId="77777777" w:rsidR="00234FA0" w:rsidRPr="00234FA0" w:rsidRDefault="00234FA0" w:rsidP="004346DC">
      <w:pPr>
        <w:spacing w:line="360" w:lineRule="auto"/>
        <w:ind w:firstLine="567"/>
        <w:rPr>
          <w:szCs w:val="20"/>
          <w:lang w:val="es-MX"/>
        </w:rPr>
      </w:pPr>
      <w:r w:rsidRPr="00234FA0">
        <w:rPr>
          <w:szCs w:val="20"/>
          <w:lang w:val="es-MX"/>
        </w:rPr>
        <w:t xml:space="preserve">En cuanto a escolaridad, el 61.4% de los gerentes señaló contar con Licenciatura, lo que puede indicarnos de una capacidad educativa al emprender o aplicar una habilidad gerencial en el estado de Guanajuato </w:t>
      </w:r>
      <w:r w:rsidRPr="00234FA0">
        <w:rPr>
          <w:szCs w:val="20"/>
          <w:lang w:val="es-MX"/>
        </w:rPr>
        <w:fldChar w:fldCharType="begin" w:fldLock="1"/>
      </w:r>
      <w:r w:rsidRPr="00234FA0">
        <w:rPr>
          <w:szCs w:val="20"/>
          <w:lang w:val="es-MX"/>
        </w:rPr>
        <w:instrText>ADDIN CSL_CITATION {"citationItems":[{"id":"ITEM-1","itemData":{"DOI":"10.1016/j.brq.2015.02.002","ISSN":"23409444","abstract":"This paper studies the impact of formal education on entrepreneurship rates. We propose that different levels of education not only vary between each other in terms of their impact, but also according to whether we analysis either formal or informal entrepreneurship. Our results show that tertiary education increases formal entrepreneurship as a consequence of the higher self-confidence, lower perceived risk and enhanced human capital. At the same time, tertiary education also has a negative effect on informal entrepreneurship as it increases awareness of and sensitivity to the possible negative repercussions of this kind of activities. In addition, we show that the impact of secondary education on formal entrepreneurship is positive as well, although in this case the effect on informal entrepreneurship is not significant. Even though secondary education also increases awareness of the potential negative repercussions of informal entrepreneurship, this effect is counteracted by a lack of management skills.","author":[{"dropping-particle":"","family":"Jiménez","given":"Alfredo","non-dropping-particle":"","parse-names":false,"suffix":""},{"dropping-particle":"","family":"Palmero-Cámara","given":"Carmen","non-dropping-particle":"","parse-names":false,"suffix":""},{"dropping-particle":"","family":"González-Santos","given":"María Josefa","non-dropping-particle":"","parse-names":false,"suffix":""},{"dropping-particle":"","family":"González-Bernal","given":"Jerónimo","non-dropping-particle":"","parse-names":false,"suffix":""},{"dropping-particle":"","family":"Jiménez-Eguizábal","given":"Juan Alfredo","non-dropping-particle":"","parse-names":false,"suffix":""}],"container-title":"BRQ Business Research Quarterly","id":"ITEM-1","issue":"3","issued":{"date-parts":[["2015"]]},"page":"204-212","publisher":"ACEDE","title":"The impact of educational levels on formal and informal entrepreneurship","type":"article-journal","volume":"18"},"uris":["http://www.mendeley.com/documents/?uuid=7f82dec2-362d-4bb6-9ecb-2a34c574c85f"]}],"mendeley":{"formattedCitation":"(Jiménez &lt;i&gt;et al.&lt;/i&gt;, 2015)","plainTextFormattedCitation":"(Jiménez et al., 2015)","previouslyFormattedCitation":"(Jiménez &lt;i&gt;et al.&lt;/i&gt;, 2015)"},"properties":{"noteIndex":0},"schema":"https://github.com/citation-style-language/schema/raw/master/csl-citation.json"}</w:instrText>
      </w:r>
      <w:r w:rsidRPr="00234FA0">
        <w:rPr>
          <w:szCs w:val="20"/>
          <w:lang w:val="es-MX"/>
        </w:rPr>
        <w:fldChar w:fldCharType="separate"/>
      </w:r>
      <w:r w:rsidRPr="00234FA0">
        <w:rPr>
          <w:szCs w:val="20"/>
          <w:lang w:val="es-MX"/>
        </w:rPr>
        <w:t xml:space="preserve">(Jiménez </w:t>
      </w:r>
      <w:r w:rsidRPr="00234FA0">
        <w:rPr>
          <w:i/>
          <w:szCs w:val="20"/>
          <w:lang w:val="es-MX"/>
        </w:rPr>
        <w:t>et al.</w:t>
      </w:r>
      <w:r w:rsidRPr="00234FA0">
        <w:rPr>
          <w:szCs w:val="20"/>
          <w:lang w:val="es-MX"/>
        </w:rPr>
        <w:t>, 2015)</w:t>
      </w:r>
      <w:r w:rsidRPr="00234FA0">
        <w:rPr>
          <w:szCs w:val="20"/>
        </w:rPr>
        <w:fldChar w:fldCharType="end"/>
      </w:r>
      <w:r w:rsidRPr="00234FA0">
        <w:rPr>
          <w:szCs w:val="20"/>
          <w:lang w:val="es-MX"/>
        </w:rPr>
        <w:t>, un fenómeno que valdría la pena retomar en el futuro.</w:t>
      </w:r>
    </w:p>
    <w:p w14:paraId="5A63CA9E" w14:textId="77777777" w:rsidR="00234FA0" w:rsidRPr="00234FA0" w:rsidRDefault="00234FA0" w:rsidP="00234FA0">
      <w:pPr>
        <w:spacing w:line="360" w:lineRule="auto"/>
        <w:rPr>
          <w:szCs w:val="20"/>
          <w:lang w:val="es-MX"/>
        </w:rPr>
      </w:pPr>
    </w:p>
    <w:p w14:paraId="4160EBB6" w14:textId="77777777" w:rsidR="00234FA0" w:rsidRPr="00234FA0" w:rsidRDefault="00234FA0" w:rsidP="00234FA0">
      <w:pPr>
        <w:spacing w:line="360" w:lineRule="auto"/>
        <w:rPr>
          <w:szCs w:val="20"/>
          <w:lang w:val="es-MX"/>
        </w:rPr>
      </w:pPr>
      <w:r w:rsidRPr="00234FA0">
        <w:rPr>
          <w:noProof/>
          <w:szCs w:val="20"/>
          <w:lang w:val="es-MX"/>
        </w:rPr>
        <w:drawing>
          <wp:inline distT="0" distB="0" distL="0" distR="0" wp14:anchorId="2ABD4BD0" wp14:editId="3B1230D9">
            <wp:extent cx="2465614" cy="92943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71" t="22371" r="10206" b="5135"/>
                    <a:stretch/>
                  </pic:blipFill>
                  <pic:spPr bwMode="auto">
                    <a:xfrm>
                      <a:off x="0" y="0"/>
                      <a:ext cx="2487696" cy="937756"/>
                    </a:xfrm>
                    <a:prstGeom prst="rect">
                      <a:avLst/>
                    </a:prstGeom>
                    <a:noFill/>
                    <a:ln>
                      <a:noFill/>
                    </a:ln>
                    <a:extLst>
                      <a:ext uri="{53640926-AAD7-44D8-BBD7-CCE9431645EC}">
                        <a14:shadowObscured xmlns:a14="http://schemas.microsoft.com/office/drawing/2010/main"/>
                      </a:ext>
                    </a:extLst>
                  </pic:spPr>
                </pic:pic>
              </a:graphicData>
            </a:graphic>
          </wp:inline>
        </w:drawing>
      </w:r>
    </w:p>
    <w:p w14:paraId="3E3F7691" w14:textId="77777777" w:rsidR="00234FA0" w:rsidRPr="00234FA0" w:rsidRDefault="00234FA0" w:rsidP="00234FA0">
      <w:pPr>
        <w:spacing w:line="360" w:lineRule="auto"/>
        <w:rPr>
          <w:szCs w:val="20"/>
          <w:lang w:val="es-MX"/>
        </w:rPr>
      </w:pPr>
    </w:p>
    <w:p w14:paraId="23B45D2A" w14:textId="7A3D8D2C" w:rsidR="00234FA0" w:rsidRPr="00234FA0" w:rsidRDefault="00234FA0" w:rsidP="00234FA0">
      <w:pPr>
        <w:spacing w:line="360" w:lineRule="auto"/>
        <w:rPr>
          <w:szCs w:val="20"/>
          <w:lang w:val="es-MX"/>
        </w:rPr>
      </w:pPr>
      <w:r w:rsidRPr="00234FA0">
        <w:rPr>
          <w:szCs w:val="20"/>
          <w:lang w:val="es-MX"/>
        </w:rPr>
        <w:t xml:space="preserve">Figura 5. Porcentaje de muestra de personas que han recibido formación específica en innovación. </w:t>
      </w:r>
      <w:r w:rsidR="004346DC">
        <w:rPr>
          <w:szCs w:val="20"/>
          <w:lang w:val="es-MX"/>
        </w:rPr>
        <w:t xml:space="preserve"> </w:t>
      </w:r>
      <w:r w:rsidRPr="00234FA0">
        <w:rPr>
          <w:szCs w:val="20"/>
          <w:lang w:val="es-MX"/>
        </w:rPr>
        <w:t>Fuente: Elaboración propia con herramientas de Google.</w:t>
      </w:r>
    </w:p>
    <w:p w14:paraId="5966C87B" w14:textId="77777777" w:rsidR="00234FA0" w:rsidRPr="00234FA0" w:rsidRDefault="00234FA0" w:rsidP="00234FA0">
      <w:pPr>
        <w:spacing w:line="360" w:lineRule="auto"/>
        <w:rPr>
          <w:szCs w:val="20"/>
          <w:lang w:val="es-MX"/>
        </w:rPr>
      </w:pPr>
    </w:p>
    <w:p w14:paraId="572607AD" w14:textId="77777777" w:rsidR="00234FA0" w:rsidRPr="00234FA0" w:rsidRDefault="00234FA0" w:rsidP="00234FA0">
      <w:pPr>
        <w:spacing w:line="360" w:lineRule="auto"/>
        <w:rPr>
          <w:szCs w:val="20"/>
          <w:lang w:val="es-MX"/>
        </w:rPr>
      </w:pPr>
      <w:r w:rsidRPr="00234FA0">
        <w:rPr>
          <w:szCs w:val="20"/>
          <w:lang w:val="es-MX"/>
        </w:rPr>
        <w:t>En lo que corresponde la preparación en temas de innovación el grupo tiene dos tendencias muy marcadas. El 50.3% indico contar con formación previa y el 49.7% mencionó no contar con ello.</w:t>
      </w:r>
    </w:p>
    <w:p w14:paraId="69014E63" w14:textId="77777777" w:rsidR="00234FA0" w:rsidRPr="00234FA0" w:rsidRDefault="00234FA0" w:rsidP="00234FA0">
      <w:pPr>
        <w:spacing w:line="360" w:lineRule="auto"/>
        <w:rPr>
          <w:szCs w:val="20"/>
          <w:lang w:val="es-MX"/>
        </w:rPr>
      </w:pPr>
    </w:p>
    <w:p w14:paraId="7229244C" w14:textId="77777777" w:rsidR="00234FA0" w:rsidRPr="00234FA0" w:rsidRDefault="00234FA0" w:rsidP="00234FA0">
      <w:pPr>
        <w:spacing w:line="360" w:lineRule="auto"/>
        <w:rPr>
          <w:szCs w:val="20"/>
          <w:lang w:val="es-MX"/>
        </w:rPr>
      </w:pPr>
      <w:r w:rsidRPr="00234FA0">
        <w:rPr>
          <w:noProof/>
          <w:szCs w:val="20"/>
          <w:lang w:val="es-MX"/>
        </w:rPr>
        <w:lastRenderedPageBreak/>
        <w:drawing>
          <wp:inline distT="0" distB="0" distL="0" distR="0" wp14:anchorId="43E8B6D8" wp14:editId="51BB5748">
            <wp:extent cx="2188028" cy="809905"/>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661" t="24308" r="7309" b="7932"/>
                    <a:stretch/>
                  </pic:blipFill>
                  <pic:spPr bwMode="auto">
                    <a:xfrm>
                      <a:off x="0" y="0"/>
                      <a:ext cx="2202386" cy="815220"/>
                    </a:xfrm>
                    <a:prstGeom prst="rect">
                      <a:avLst/>
                    </a:prstGeom>
                    <a:noFill/>
                    <a:ln>
                      <a:noFill/>
                    </a:ln>
                    <a:extLst>
                      <a:ext uri="{53640926-AAD7-44D8-BBD7-CCE9431645EC}">
                        <a14:shadowObscured xmlns:a14="http://schemas.microsoft.com/office/drawing/2010/main"/>
                      </a:ext>
                    </a:extLst>
                  </pic:spPr>
                </pic:pic>
              </a:graphicData>
            </a:graphic>
          </wp:inline>
        </w:drawing>
      </w:r>
    </w:p>
    <w:p w14:paraId="2F626CE0" w14:textId="77777777" w:rsidR="00234FA0" w:rsidRPr="00234FA0" w:rsidRDefault="00234FA0" w:rsidP="00234FA0">
      <w:pPr>
        <w:spacing w:line="360" w:lineRule="auto"/>
        <w:rPr>
          <w:szCs w:val="20"/>
          <w:lang w:val="es-MX"/>
        </w:rPr>
      </w:pPr>
    </w:p>
    <w:p w14:paraId="6DF78B30" w14:textId="77777777" w:rsidR="00234FA0" w:rsidRPr="00234FA0" w:rsidRDefault="00234FA0" w:rsidP="00234FA0">
      <w:pPr>
        <w:spacing w:line="360" w:lineRule="auto"/>
        <w:rPr>
          <w:szCs w:val="20"/>
          <w:lang w:val="es-MX"/>
        </w:rPr>
      </w:pPr>
      <w:r w:rsidRPr="00234FA0">
        <w:rPr>
          <w:szCs w:val="20"/>
          <w:lang w:val="es-MX"/>
        </w:rPr>
        <w:t xml:space="preserve">Figura 6. Porcentaje de muestra de personas por antigüedad en la empresa. </w:t>
      </w:r>
      <w:r w:rsidRPr="00234FA0">
        <w:rPr>
          <w:szCs w:val="20"/>
          <w:lang w:val="es-MX"/>
        </w:rPr>
        <w:br/>
        <w:t>Fuente: Elaboración propia con herramientas de Google.</w:t>
      </w:r>
    </w:p>
    <w:p w14:paraId="4CA3AB05" w14:textId="77777777" w:rsidR="00234FA0" w:rsidRPr="00234FA0" w:rsidRDefault="00234FA0" w:rsidP="00234FA0">
      <w:pPr>
        <w:spacing w:line="360" w:lineRule="auto"/>
        <w:rPr>
          <w:szCs w:val="20"/>
          <w:lang w:val="es-MX"/>
        </w:rPr>
      </w:pPr>
    </w:p>
    <w:p w14:paraId="07304F99" w14:textId="06E81091" w:rsidR="00234FA0" w:rsidRPr="00234FA0" w:rsidRDefault="00234FA0" w:rsidP="004346DC">
      <w:pPr>
        <w:spacing w:line="360" w:lineRule="auto"/>
        <w:ind w:firstLine="567"/>
        <w:jc w:val="both"/>
        <w:rPr>
          <w:szCs w:val="20"/>
          <w:lang w:val="es-MX"/>
        </w:rPr>
      </w:pPr>
      <w:r w:rsidRPr="00234FA0">
        <w:rPr>
          <w:szCs w:val="20"/>
          <w:lang w:val="es-MX"/>
        </w:rPr>
        <w:t>La antigüedad en una empresa simboliza estabilidad pero también puede minimizar la orientación a la innovación, en el caso de la muestra más del 50% de la muestra señala contar entre 1 a 8 años.</w:t>
      </w:r>
      <w:r w:rsidR="004346DC">
        <w:rPr>
          <w:szCs w:val="20"/>
          <w:lang w:val="es-MX"/>
        </w:rPr>
        <w:t xml:space="preserve"> </w:t>
      </w:r>
      <w:r w:rsidRPr="00234FA0">
        <w:rPr>
          <w:szCs w:val="20"/>
          <w:lang w:val="es-MX"/>
        </w:rPr>
        <w:t>Los análisis descriptivos permiten retratar un panorama de las PYMES en el estado de Guanajuato, en el que mayormente (48.7%) son empresas jóvenes. Esto permite inferir que los procesos de innovación que retrata el análisis estan mayormente reflejados por este tipo de compañías, en quienes la dimensión de Recursos (0.943) es un área muy valiosa para la creación y desarrollo de una cultura de innovación.</w:t>
      </w:r>
    </w:p>
    <w:p w14:paraId="636A67E9" w14:textId="77777777" w:rsidR="00234FA0" w:rsidRPr="00234FA0" w:rsidRDefault="00234FA0" w:rsidP="00234FA0">
      <w:pPr>
        <w:spacing w:line="360" w:lineRule="auto"/>
        <w:rPr>
          <w:szCs w:val="20"/>
          <w:lang w:val="es-MX"/>
        </w:rPr>
      </w:pPr>
    </w:p>
    <w:p w14:paraId="042152DB" w14:textId="77777777" w:rsidR="00234FA0" w:rsidRPr="00234FA0" w:rsidRDefault="00234FA0" w:rsidP="00234FA0">
      <w:pPr>
        <w:spacing w:line="360" w:lineRule="auto"/>
        <w:rPr>
          <w:szCs w:val="20"/>
          <w:lang w:val="es-MX"/>
        </w:rPr>
      </w:pPr>
      <w:r w:rsidRPr="00234FA0">
        <w:rPr>
          <w:szCs w:val="20"/>
          <w:lang w:val="es-MX"/>
        </w:rPr>
        <w:t>Si bien, la cultura de innovación es un área de compleja medición, la adaptación del modelo de Rao y Weintraub (2013) permite contar con una radiografía de las dimensiones que mayormente se reflejan en la comunidad de empresas encuestadas.</w:t>
      </w:r>
    </w:p>
    <w:p w14:paraId="0D743CAE" w14:textId="77777777" w:rsidR="00234FA0" w:rsidRPr="00234FA0" w:rsidRDefault="00234FA0" w:rsidP="00234FA0">
      <w:pPr>
        <w:spacing w:line="360" w:lineRule="auto"/>
        <w:rPr>
          <w:szCs w:val="20"/>
          <w:lang w:val="es-MX"/>
        </w:rPr>
      </w:pPr>
    </w:p>
    <w:p w14:paraId="3F489DA0" w14:textId="77777777" w:rsidR="00234FA0" w:rsidRPr="00234FA0" w:rsidRDefault="00234FA0" w:rsidP="004346DC">
      <w:pPr>
        <w:spacing w:line="360" w:lineRule="auto"/>
        <w:ind w:firstLine="567"/>
        <w:rPr>
          <w:szCs w:val="20"/>
          <w:lang w:val="es-MX"/>
        </w:rPr>
      </w:pPr>
      <w:r w:rsidRPr="00234FA0">
        <w:rPr>
          <w:szCs w:val="20"/>
          <w:lang w:val="es-MX"/>
        </w:rPr>
        <w:t xml:space="preserve">En el caso de la </w:t>
      </w:r>
      <w:r w:rsidRPr="00234FA0">
        <w:rPr>
          <w:i/>
          <w:iCs/>
          <w:szCs w:val="20"/>
          <w:lang w:val="es-MX"/>
        </w:rPr>
        <w:t>dimensión de valores</w:t>
      </w:r>
      <w:r w:rsidRPr="00234FA0">
        <w:rPr>
          <w:szCs w:val="20"/>
          <w:lang w:val="es-MX"/>
        </w:rPr>
        <w:t xml:space="preserve">, los ítems relativos a la exploración, la creatividad y la experimentación reflejaron una mayor carga factorial y los ítems relativos a la tolerancia al fallo y al error fueron eliminados al no contar con la carga factorial necesaria para formar parte de la dimensión. Esto es un hallazgo importante en la investigación. </w:t>
      </w:r>
    </w:p>
    <w:p w14:paraId="5FD3E8BA" w14:textId="77777777" w:rsidR="00234FA0" w:rsidRPr="00234FA0" w:rsidRDefault="00234FA0" w:rsidP="00234FA0">
      <w:pPr>
        <w:spacing w:line="360" w:lineRule="auto"/>
        <w:rPr>
          <w:szCs w:val="20"/>
          <w:lang w:val="es-MX"/>
        </w:rPr>
      </w:pPr>
    </w:p>
    <w:p w14:paraId="5F940D19" w14:textId="77777777" w:rsidR="00234FA0" w:rsidRPr="00234FA0" w:rsidRDefault="00234FA0" w:rsidP="004346DC">
      <w:pPr>
        <w:spacing w:line="360" w:lineRule="auto"/>
        <w:ind w:firstLine="567"/>
        <w:rPr>
          <w:szCs w:val="20"/>
          <w:lang w:val="es-MX"/>
        </w:rPr>
      </w:pPr>
      <w:r w:rsidRPr="00234FA0">
        <w:rPr>
          <w:szCs w:val="20"/>
          <w:lang w:val="es-MX"/>
        </w:rPr>
        <w:t xml:space="preserve">De acuerdo a los resultados en la </w:t>
      </w:r>
      <w:r w:rsidRPr="00234FA0">
        <w:rPr>
          <w:i/>
          <w:iCs/>
          <w:szCs w:val="20"/>
          <w:lang w:val="es-MX"/>
        </w:rPr>
        <w:t>dimensión de clima laboral</w:t>
      </w:r>
      <w:r w:rsidRPr="00234FA0">
        <w:rPr>
          <w:szCs w:val="20"/>
          <w:lang w:val="es-MX"/>
        </w:rPr>
        <w:t>, los ítems relativos a autonomía, toma de responsabilidad o una orientación hacia normas o estructuras más flexibles fueron los que no tuvieron la carga factorial necesaria para reflejarse en el CI. Sin embargo, el lenguaje de innovación y el trabajo en equipo destacó en esta dimensión (Véase Figura 7).</w:t>
      </w:r>
    </w:p>
    <w:p w14:paraId="4DC756A4" w14:textId="77777777" w:rsidR="00234FA0" w:rsidRPr="00234FA0" w:rsidRDefault="00234FA0" w:rsidP="00234FA0">
      <w:pPr>
        <w:spacing w:line="360" w:lineRule="auto"/>
        <w:rPr>
          <w:szCs w:val="20"/>
          <w:lang w:val="es-MX"/>
        </w:rPr>
      </w:pPr>
      <w:r w:rsidRPr="00234FA0">
        <w:rPr>
          <w:noProof/>
          <w:szCs w:val="20"/>
          <w:lang w:val="es-MX"/>
        </w:rPr>
        <w:lastRenderedPageBreak/>
        <w:drawing>
          <wp:anchor distT="0" distB="0" distL="114300" distR="114300" simplePos="0" relativeHeight="251688960" behindDoc="1" locked="0" layoutInCell="1" allowOverlap="1" wp14:anchorId="1B1044B1" wp14:editId="5A28047B">
            <wp:simplePos x="0" y="0"/>
            <wp:positionH relativeFrom="column">
              <wp:posOffset>1753235</wp:posOffset>
            </wp:positionH>
            <wp:positionV relativeFrom="paragraph">
              <wp:posOffset>171450</wp:posOffset>
            </wp:positionV>
            <wp:extent cx="2000885" cy="2900680"/>
            <wp:effectExtent l="0" t="0" r="5715" b="0"/>
            <wp:wrapTight wrapText="bothSides">
              <wp:wrapPolygon edited="0">
                <wp:start x="0" y="0"/>
                <wp:lineTo x="0" y="21468"/>
                <wp:lineTo x="21525" y="21468"/>
                <wp:lineTo x="21525"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885" cy="2900680"/>
                    </a:xfrm>
                    <a:prstGeom prst="rect">
                      <a:avLst/>
                    </a:prstGeom>
                  </pic:spPr>
                </pic:pic>
              </a:graphicData>
            </a:graphic>
            <wp14:sizeRelH relativeFrom="page">
              <wp14:pctWidth>0</wp14:pctWidth>
            </wp14:sizeRelH>
            <wp14:sizeRelV relativeFrom="page">
              <wp14:pctHeight>0</wp14:pctHeight>
            </wp14:sizeRelV>
          </wp:anchor>
        </w:drawing>
      </w:r>
    </w:p>
    <w:p w14:paraId="7353B442" w14:textId="77777777" w:rsidR="00234FA0" w:rsidRPr="00234FA0" w:rsidRDefault="00234FA0" w:rsidP="00234FA0">
      <w:pPr>
        <w:spacing w:line="360" w:lineRule="auto"/>
        <w:rPr>
          <w:szCs w:val="20"/>
          <w:lang w:val="es-MX"/>
        </w:rPr>
      </w:pPr>
    </w:p>
    <w:p w14:paraId="6D372A48" w14:textId="77777777" w:rsidR="00234FA0" w:rsidRPr="00234FA0" w:rsidRDefault="00234FA0" w:rsidP="00234FA0">
      <w:pPr>
        <w:spacing w:line="360" w:lineRule="auto"/>
        <w:rPr>
          <w:szCs w:val="20"/>
          <w:lang w:val="es-MX"/>
        </w:rPr>
      </w:pPr>
    </w:p>
    <w:p w14:paraId="785DF1FB" w14:textId="77777777" w:rsidR="00234FA0" w:rsidRPr="00234FA0" w:rsidRDefault="00234FA0" w:rsidP="00234FA0">
      <w:pPr>
        <w:spacing w:line="360" w:lineRule="auto"/>
        <w:rPr>
          <w:szCs w:val="20"/>
          <w:lang w:val="es-MX"/>
        </w:rPr>
      </w:pPr>
    </w:p>
    <w:p w14:paraId="471924B1" w14:textId="77777777" w:rsidR="00234FA0" w:rsidRPr="00234FA0" w:rsidRDefault="00234FA0" w:rsidP="00234FA0">
      <w:pPr>
        <w:spacing w:line="360" w:lineRule="auto"/>
        <w:rPr>
          <w:szCs w:val="20"/>
          <w:lang w:val="es-MX"/>
        </w:rPr>
      </w:pPr>
    </w:p>
    <w:p w14:paraId="2AA1738B" w14:textId="77777777" w:rsidR="00234FA0" w:rsidRPr="00234FA0" w:rsidRDefault="00234FA0" w:rsidP="00234FA0">
      <w:pPr>
        <w:spacing w:line="360" w:lineRule="auto"/>
        <w:rPr>
          <w:szCs w:val="20"/>
          <w:lang w:val="es-MX"/>
        </w:rPr>
      </w:pPr>
    </w:p>
    <w:p w14:paraId="0EDA5BCA" w14:textId="77777777" w:rsidR="00234FA0" w:rsidRPr="00234FA0" w:rsidRDefault="00234FA0" w:rsidP="00234FA0">
      <w:pPr>
        <w:spacing w:line="360" w:lineRule="auto"/>
        <w:rPr>
          <w:szCs w:val="20"/>
          <w:lang w:val="es-MX"/>
        </w:rPr>
      </w:pPr>
    </w:p>
    <w:p w14:paraId="6A000203" w14:textId="77777777" w:rsidR="00234FA0" w:rsidRPr="00234FA0" w:rsidRDefault="00234FA0" w:rsidP="00234FA0">
      <w:pPr>
        <w:spacing w:line="360" w:lineRule="auto"/>
        <w:rPr>
          <w:szCs w:val="20"/>
          <w:lang w:val="es-MX"/>
        </w:rPr>
      </w:pPr>
    </w:p>
    <w:p w14:paraId="1D5A1EAF" w14:textId="77777777" w:rsidR="00234FA0" w:rsidRPr="00234FA0" w:rsidRDefault="00234FA0" w:rsidP="00234FA0">
      <w:pPr>
        <w:spacing w:line="360" w:lineRule="auto"/>
        <w:rPr>
          <w:szCs w:val="20"/>
          <w:lang w:val="es-MX"/>
        </w:rPr>
      </w:pPr>
    </w:p>
    <w:p w14:paraId="2557E123" w14:textId="77777777" w:rsidR="00234FA0" w:rsidRPr="00234FA0" w:rsidRDefault="00234FA0" w:rsidP="00234FA0">
      <w:pPr>
        <w:spacing w:line="360" w:lineRule="auto"/>
        <w:rPr>
          <w:szCs w:val="20"/>
          <w:lang w:val="es-MX"/>
        </w:rPr>
      </w:pPr>
    </w:p>
    <w:p w14:paraId="3764D315" w14:textId="77777777" w:rsidR="00234FA0" w:rsidRPr="00234FA0" w:rsidRDefault="00234FA0" w:rsidP="00234FA0">
      <w:pPr>
        <w:spacing w:line="360" w:lineRule="auto"/>
        <w:rPr>
          <w:szCs w:val="20"/>
          <w:lang w:val="es-MX"/>
        </w:rPr>
      </w:pPr>
    </w:p>
    <w:p w14:paraId="11DF51B5" w14:textId="77777777" w:rsidR="00234FA0" w:rsidRPr="00234FA0" w:rsidRDefault="00234FA0" w:rsidP="00234FA0">
      <w:pPr>
        <w:spacing w:line="360" w:lineRule="auto"/>
        <w:rPr>
          <w:szCs w:val="20"/>
          <w:lang w:val="es-MX"/>
        </w:rPr>
      </w:pPr>
    </w:p>
    <w:p w14:paraId="434EEB71" w14:textId="77777777" w:rsidR="004346DC" w:rsidRDefault="00234FA0" w:rsidP="00234FA0">
      <w:pPr>
        <w:spacing w:line="360" w:lineRule="auto"/>
        <w:rPr>
          <w:szCs w:val="20"/>
          <w:lang w:val="es-MX"/>
        </w:rPr>
      </w:pPr>
      <w:r w:rsidRPr="00234FA0">
        <w:rPr>
          <w:szCs w:val="20"/>
          <w:lang w:val="es-MX"/>
        </w:rPr>
        <w:t>Figura 7. Modelo de Coeficiente de Innovación (CI). Elaborado con SmartPLS</w:t>
      </w:r>
      <w:r w:rsidRPr="00234FA0">
        <w:rPr>
          <w:i/>
          <w:iCs/>
          <w:szCs w:val="20"/>
          <w:lang w:val="es-MX"/>
        </w:rPr>
        <w:t>®</w:t>
      </w:r>
      <w:r w:rsidRPr="00234FA0">
        <w:rPr>
          <w:szCs w:val="20"/>
          <w:lang w:val="es-MX"/>
        </w:rPr>
        <w:t>.</w:t>
      </w:r>
    </w:p>
    <w:p w14:paraId="75C8922D" w14:textId="0FD040B4" w:rsidR="005C1920" w:rsidRDefault="00234FA0" w:rsidP="00234FA0">
      <w:pPr>
        <w:spacing w:line="360" w:lineRule="auto"/>
        <w:rPr>
          <w:rFonts w:ascii="Arial" w:hAnsi="Arial" w:cs="Arial"/>
          <w:i/>
          <w:sz w:val="20"/>
          <w:szCs w:val="20"/>
        </w:rPr>
      </w:pPr>
      <w:r w:rsidRPr="00234FA0">
        <w:rPr>
          <w:szCs w:val="20"/>
          <w:lang w:val="es-MX"/>
        </w:rPr>
        <w:t xml:space="preserve"> </w:t>
      </w:r>
      <w:r w:rsidRPr="00234FA0">
        <w:rPr>
          <w:szCs w:val="20"/>
          <w:lang w:val="es-MX"/>
        </w:rPr>
        <w:br/>
      </w:r>
    </w:p>
    <w:p w14:paraId="2A9CCEFF" w14:textId="6FE06C9B" w:rsidR="005C1920" w:rsidRPr="00B60952" w:rsidRDefault="00B60952" w:rsidP="005C1920">
      <w:pPr>
        <w:spacing w:line="360" w:lineRule="auto"/>
        <w:rPr>
          <w:b/>
          <w:color w:val="244061"/>
          <w:sz w:val="28"/>
        </w:rPr>
      </w:pPr>
      <w:r>
        <w:rPr>
          <w:b/>
          <w:color w:val="244061"/>
          <w:sz w:val="28"/>
        </w:rPr>
        <w:t>5</w:t>
      </w:r>
      <w:r w:rsidR="005C1920" w:rsidRPr="00B60952">
        <w:rPr>
          <w:b/>
          <w:color w:val="244061"/>
          <w:sz w:val="28"/>
        </w:rPr>
        <w:t>. Conclusiones</w:t>
      </w:r>
      <w:r>
        <w:rPr>
          <w:b/>
          <w:color w:val="244061"/>
          <w:sz w:val="28"/>
        </w:rPr>
        <w:t xml:space="preserve"> o Discusión</w:t>
      </w:r>
    </w:p>
    <w:p w14:paraId="4409B909" w14:textId="54149141" w:rsidR="00234FA0" w:rsidRPr="00234FA0" w:rsidRDefault="00234FA0" w:rsidP="004346DC">
      <w:pPr>
        <w:spacing w:line="360" w:lineRule="auto"/>
        <w:ind w:firstLine="567"/>
        <w:jc w:val="both"/>
      </w:pPr>
      <w:r w:rsidRPr="00234FA0">
        <w:t xml:space="preserve">De acuerdo a </w:t>
      </w:r>
      <w:proofErr w:type="spellStart"/>
      <w:r w:rsidRPr="00234FA0">
        <w:t>Rao</w:t>
      </w:r>
      <w:proofErr w:type="spellEnd"/>
      <w:r w:rsidRPr="00234FA0">
        <w:t xml:space="preserve"> y </w:t>
      </w:r>
      <w:proofErr w:type="spellStart"/>
      <w:r w:rsidRPr="00234FA0">
        <w:t>Weintraub</w:t>
      </w:r>
      <w:proofErr w:type="spellEnd"/>
      <w:r w:rsidRPr="00234FA0">
        <w:t xml:space="preserve"> (2013) cuando se trata de fomentar la innovación en las organizaciones, en general es fundamental que los gerentes y directivos pongan una atención especial a las seis áreas, sin embargo, recursos, procesos y éxitos destacan pues forman el lado más racional de la innovación y de alguna forma es más fácil medir. En la muestra de empresas PYME encuestada, refleja estas dimensiones. Lo que corresponde a un enfoque más emocional de la innovación que corresponde a los valores, comportamientos y clima laboral, </w:t>
      </w:r>
      <w:r w:rsidR="004346DC" w:rsidRPr="00234FA0">
        <w:t>íntimamente</w:t>
      </w:r>
      <w:r w:rsidRPr="00234FA0">
        <w:t xml:space="preserve"> relacionado con las personas pareciera no reflejarse de igual forma en la orientación de las decisiones gerenciales.</w:t>
      </w:r>
    </w:p>
    <w:p w14:paraId="440C58C0" w14:textId="77777777" w:rsidR="00234FA0" w:rsidRPr="00234FA0" w:rsidRDefault="00234FA0" w:rsidP="004346DC">
      <w:pPr>
        <w:spacing w:line="360" w:lineRule="auto"/>
        <w:jc w:val="both"/>
      </w:pPr>
    </w:p>
    <w:p w14:paraId="28B5865B" w14:textId="77777777" w:rsidR="00234FA0" w:rsidRPr="00234FA0" w:rsidRDefault="00234FA0" w:rsidP="004346DC">
      <w:pPr>
        <w:spacing w:line="360" w:lineRule="auto"/>
        <w:ind w:firstLine="567"/>
        <w:jc w:val="both"/>
      </w:pPr>
      <w:r w:rsidRPr="00234FA0">
        <w:t xml:space="preserve">Esto pudiera analizarse como un punto negativo, pero también como un área de oportunidad para mejorar la gestión del talento y los recursos humanos para impulsar la innovación desde un aspecto más emocional, que involucre la promoción de valores y comportamientos que cobijen a los procesos claves de innovación. Lo humano es lo clave en esta época </w:t>
      </w:r>
      <w:proofErr w:type="spellStart"/>
      <w:r w:rsidRPr="00234FA0">
        <w:t>poscovid</w:t>
      </w:r>
      <w:proofErr w:type="spellEnd"/>
      <w:r w:rsidRPr="00234FA0">
        <w:t xml:space="preserve">, sin embargo, en un entorno complejo pareciera también el más </w:t>
      </w:r>
      <w:proofErr w:type="spellStart"/>
      <w:r w:rsidRPr="00234FA0">
        <w:t>díficil</w:t>
      </w:r>
      <w:proofErr w:type="spellEnd"/>
      <w:r w:rsidRPr="00234FA0">
        <w:t xml:space="preserve"> de </w:t>
      </w:r>
      <w:r w:rsidRPr="00234FA0">
        <w:lastRenderedPageBreak/>
        <w:t xml:space="preserve">abordar. Sin embargo, estas </w:t>
      </w:r>
      <w:proofErr w:type="spellStart"/>
      <w:r w:rsidRPr="00234FA0">
        <w:t>dimensones</w:t>
      </w:r>
      <w:proofErr w:type="spellEnd"/>
      <w:r w:rsidRPr="00234FA0">
        <w:t xml:space="preserve"> son las que pudieran dar forma a una nueva cultura de </w:t>
      </w:r>
      <w:proofErr w:type="spellStart"/>
      <w:r w:rsidRPr="00234FA0">
        <w:t>innovaación</w:t>
      </w:r>
      <w:proofErr w:type="spellEnd"/>
      <w:r w:rsidRPr="00234FA0">
        <w:t xml:space="preserve"> y crear presentes y futuras ventajas competitivas.</w:t>
      </w:r>
    </w:p>
    <w:p w14:paraId="56F02B45" w14:textId="77777777" w:rsidR="00234FA0" w:rsidRPr="00234FA0" w:rsidRDefault="00234FA0" w:rsidP="004346DC">
      <w:pPr>
        <w:spacing w:line="360" w:lineRule="auto"/>
        <w:jc w:val="both"/>
      </w:pPr>
    </w:p>
    <w:p w14:paraId="56B8EA94" w14:textId="77777777" w:rsidR="00234FA0" w:rsidRPr="00234FA0" w:rsidRDefault="00234FA0" w:rsidP="004346DC">
      <w:pPr>
        <w:spacing w:line="360" w:lineRule="auto"/>
        <w:ind w:firstLine="567"/>
        <w:jc w:val="both"/>
      </w:pPr>
      <w:r w:rsidRPr="00234FA0">
        <w:t>Si bien los resultados, permiten dimensionar un reflejo hacia una cultura de innovación de las empresas encuestadas, el riesgo de desarrollar un solo bloque, como el racional es una debilidad en el mediano y largo plazo para las empresas de la región, especialmente para un aprendizaje hacia la automatización y digitalización de procesos administrativos y productivos. Pues una orientación hacia la innovación desde las personas pudiera atraer mejores talentos a la organización.</w:t>
      </w:r>
    </w:p>
    <w:p w14:paraId="0F0C1AEB" w14:textId="77777777" w:rsidR="00234FA0" w:rsidRPr="00234FA0" w:rsidRDefault="00234FA0" w:rsidP="004346DC">
      <w:pPr>
        <w:spacing w:line="360" w:lineRule="auto"/>
        <w:jc w:val="both"/>
      </w:pPr>
    </w:p>
    <w:p w14:paraId="5E71531B" w14:textId="1238DDE3" w:rsidR="00234FA0" w:rsidRDefault="004346DC" w:rsidP="004346DC">
      <w:pPr>
        <w:spacing w:line="360" w:lineRule="auto"/>
        <w:ind w:firstLine="567"/>
        <w:jc w:val="both"/>
      </w:pPr>
      <w:r>
        <w:t>Cada</w:t>
      </w:r>
      <w:r w:rsidR="00234FA0" w:rsidRPr="00234FA0">
        <w:t xml:space="preserve"> aspecto </w:t>
      </w:r>
      <w:r>
        <w:t xml:space="preserve">de la cultura de innovación </w:t>
      </w:r>
      <w:r w:rsidR="00234FA0" w:rsidRPr="00234FA0">
        <w:t>puede ser mejorado desde cada empresa, el análisis de las PYME</w:t>
      </w:r>
      <w:r>
        <w:t>S</w:t>
      </w:r>
      <w:r w:rsidR="00234FA0" w:rsidRPr="00234FA0">
        <w:t xml:space="preserve"> permite identificar </w:t>
      </w:r>
      <w:r w:rsidR="00234FA0" w:rsidRPr="004346DC">
        <w:rPr>
          <w:i/>
          <w:iCs/>
        </w:rPr>
        <w:t xml:space="preserve">áreas de formación, capacitación y educación para las y los gerentes de este tipo de empresas. </w:t>
      </w:r>
      <w:r w:rsidR="00234FA0" w:rsidRPr="004346DC">
        <w:t>E</w:t>
      </w:r>
      <w:r w:rsidR="00234FA0" w:rsidRPr="00234FA0">
        <w:t>sto significa, planes y programas desde las esferas públicas para estructurar programas de educación continua en equipos de empresas para apuntalar los puntos débiles de una cultura de innovación de la región.</w:t>
      </w:r>
    </w:p>
    <w:p w14:paraId="0BC419FE" w14:textId="77777777" w:rsidR="00D911C9" w:rsidRDefault="00D911C9" w:rsidP="00D911C9">
      <w:pPr>
        <w:spacing w:line="360" w:lineRule="auto"/>
        <w:ind w:right="1417"/>
      </w:pPr>
    </w:p>
    <w:p w14:paraId="1A0BA9AF" w14:textId="17DCC6D2" w:rsidR="005C1920" w:rsidRDefault="005C1920" w:rsidP="00D911C9">
      <w:pPr>
        <w:spacing w:line="360" w:lineRule="auto"/>
        <w:ind w:right="1417"/>
        <w:rPr>
          <w:b/>
          <w:color w:val="244061"/>
          <w:sz w:val="28"/>
        </w:rPr>
      </w:pPr>
      <w:r w:rsidRPr="008A44BA">
        <w:rPr>
          <w:b/>
          <w:color w:val="244061"/>
          <w:sz w:val="28"/>
        </w:rPr>
        <w:t xml:space="preserve">Referencias </w:t>
      </w:r>
    </w:p>
    <w:p w14:paraId="3C17583A" w14:textId="77777777" w:rsidR="00234FA0" w:rsidRPr="008A44BA" w:rsidRDefault="00234FA0" w:rsidP="008A44BA">
      <w:pPr>
        <w:spacing w:line="360" w:lineRule="auto"/>
        <w:rPr>
          <w:b/>
          <w:color w:val="244061"/>
          <w:sz w:val="28"/>
        </w:rPr>
      </w:pPr>
    </w:p>
    <w:p w14:paraId="2566897E" w14:textId="77777777" w:rsidR="00234FA0" w:rsidRPr="00234FA0" w:rsidRDefault="00234FA0" w:rsidP="00234FA0">
      <w:pPr>
        <w:spacing w:line="360" w:lineRule="auto"/>
        <w:ind w:left="567" w:hanging="567"/>
        <w:rPr>
          <w:szCs w:val="20"/>
          <w:lang w:val="es-MX"/>
        </w:rPr>
      </w:pPr>
      <w:r w:rsidRPr="00234FA0">
        <w:rPr>
          <w:szCs w:val="20"/>
          <w:lang w:val="es-MX"/>
        </w:rPr>
        <w:fldChar w:fldCharType="begin" w:fldLock="1"/>
      </w:r>
      <w:r w:rsidRPr="00234FA0">
        <w:rPr>
          <w:szCs w:val="20"/>
          <w:lang w:val="es-MX"/>
        </w:rPr>
        <w:instrText xml:space="preserve">ADDIN Mendeley Bibliography CSL_BIBLIOGRAPHY </w:instrText>
      </w:r>
      <w:r w:rsidRPr="00234FA0">
        <w:rPr>
          <w:szCs w:val="20"/>
          <w:lang w:val="es-MX"/>
        </w:rPr>
        <w:fldChar w:fldCharType="separate"/>
      </w:r>
      <w:r w:rsidRPr="00234FA0">
        <w:rPr>
          <w:szCs w:val="20"/>
          <w:lang w:val="es-MX"/>
        </w:rPr>
        <w:t xml:space="preserve">Álvarez-Torres, F. J., López-Torres, G. C. and Álvarez-Rodríguez, E. (2018) ‘El análisis de la Orientación Emprendedora por medio de ecuaciones estructurales en la PYME guanajuatense del sector cuero-calzado’, </w:t>
      </w:r>
      <w:r w:rsidRPr="00234FA0">
        <w:rPr>
          <w:i/>
          <w:iCs/>
          <w:szCs w:val="20"/>
          <w:lang w:val="es-MX"/>
        </w:rPr>
        <w:t>VinculaTégica</w:t>
      </w:r>
      <w:r w:rsidRPr="00234FA0">
        <w:rPr>
          <w:szCs w:val="20"/>
          <w:lang w:val="es-MX"/>
        </w:rPr>
        <w:t>, 4(9), pp. 56–63. Available at: http://www.web.facpya.uanl.mx/vinculategica/Vincultagieca_4/9 ALVAREZ_LOPEZ_ALVAREZ.pdf.</w:t>
      </w:r>
    </w:p>
    <w:p w14:paraId="69B571D9" w14:textId="77777777" w:rsidR="00234FA0" w:rsidRPr="00234FA0" w:rsidRDefault="00234FA0" w:rsidP="00234FA0">
      <w:pPr>
        <w:spacing w:line="360" w:lineRule="auto"/>
        <w:ind w:left="567" w:hanging="567"/>
        <w:rPr>
          <w:szCs w:val="20"/>
          <w:lang w:val="es-MX"/>
        </w:rPr>
      </w:pPr>
      <w:r w:rsidRPr="00234FA0">
        <w:rPr>
          <w:szCs w:val="20"/>
          <w:lang w:val="es-MX"/>
        </w:rPr>
        <w:t xml:space="preserve">Alvarez-Torres, F. J., Lopez-Torres, G. C. and Schiuma, G. (2019) ‘Linking entrepreneurial orientation to SMEs’ performance’, </w:t>
      </w:r>
      <w:r w:rsidRPr="00234FA0">
        <w:rPr>
          <w:i/>
          <w:iCs/>
          <w:szCs w:val="20"/>
          <w:lang w:val="es-MX"/>
        </w:rPr>
        <w:t>Management Decision</w:t>
      </w:r>
      <w:r w:rsidRPr="00234FA0">
        <w:rPr>
          <w:szCs w:val="20"/>
          <w:lang w:val="es-MX"/>
        </w:rPr>
        <w:t>, p. MD-11-2018-1234. doi: 10.1108/MD-11-2018-1234.</w:t>
      </w:r>
    </w:p>
    <w:p w14:paraId="70DD922E" w14:textId="77777777" w:rsidR="00234FA0" w:rsidRPr="00234FA0" w:rsidRDefault="00234FA0" w:rsidP="00234FA0">
      <w:pPr>
        <w:spacing w:line="360" w:lineRule="auto"/>
        <w:ind w:left="567" w:hanging="567"/>
        <w:rPr>
          <w:szCs w:val="20"/>
          <w:lang w:val="es-MX"/>
        </w:rPr>
      </w:pPr>
      <w:r w:rsidRPr="00234FA0">
        <w:rPr>
          <w:szCs w:val="20"/>
          <w:lang w:val="es-MX"/>
        </w:rPr>
        <w:t xml:space="preserve">Bach, T. M. </w:t>
      </w:r>
      <w:r w:rsidRPr="00234FA0">
        <w:rPr>
          <w:i/>
          <w:iCs/>
          <w:szCs w:val="20"/>
          <w:lang w:val="es-MX"/>
        </w:rPr>
        <w:t>et al.</w:t>
      </w:r>
      <w:r w:rsidRPr="00234FA0">
        <w:rPr>
          <w:szCs w:val="20"/>
          <w:lang w:val="es-MX"/>
        </w:rPr>
        <w:t xml:space="preserve"> (2019) ‘Relationship Between Innovation and Performance in Private Companies: Systematic Literature Review’, </w:t>
      </w:r>
      <w:r w:rsidRPr="00234FA0">
        <w:rPr>
          <w:i/>
          <w:iCs/>
          <w:szCs w:val="20"/>
          <w:lang w:val="es-MX"/>
        </w:rPr>
        <w:t>SAGE Open</w:t>
      </w:r>
      <w:r w:rsidRPr="00234FA0">
        <w:rPr>
          <w:szCs w:val="20"/>
          <w:lang w:val="es-MX"/>
        </w:rPr>
        <w:t>, 9(2). doi: 10.1177/2158244019855847.</w:t>
      </w:r>
    </w:p>
    <w:p w14:paraId="7F3DF4AE" w14:textId="77777777" w:rsidR="00234FA0" w:rsidRPr="00234FA0" w:rsidRDefault="00234FA0" w:rsidP="00234FA0">
      <w:pPr>
        <w:spacing w:line="360" w:lineRule="auto"/>
        <w:ind w:left="567" w:hanging="567"/>
        <w:rPr>
          <w:szCs w:val="20"/>
          <w:lang w:val="es-MX"/>
        </w:rPr>
      </w:pPr>
      <w:r w:rsidRPr="00234FA0">
        <w:rPr>
          <w:szCs w:val="20"/>
          <w:lang w:val="es-MX"/>
        </w:rPr>
        <w:t xml:space="preserve">Bakhshi, H. </w:t>
      </w:r>
      <w:r w:rsidRPr="00234FA0">
        <w:rPr>
          <w:i/>
          <w:iCs/>
          <w:szCs w:val="20"/>
          <w:lang w:val="es-MX"/>
        </w:rPr>
        <w:t>et al.</w:t>
      </w:r>
      <w:r w:rsidRPr="00234FA0">
        <w:rPr>
          <w:szCs w:val="20"/>
          <w:lang w:val="es-MX"/>
        </w:rPr>
        <w:t xml:space="preserve"> (2017) </w:t>
      </w:r>
      <w:r w:rsidRPr="00234FA0">
        <w:rPr>
          <w:i/>
          <w:iCs/>
          <w:szCs w:val="20"/>
          <w:lang w:val="es-MX"/>
        </w:rPr>
        <w:t>The Future of skills: Employment in 2030.  London: Pearson and Nesta</w:t>
      </w:r>
      <w:r w:rsidRPr="00234FA0">
        <w:rPr>
          <w:szCs w:val="20"/>
          <w:lang w:val="es-MX"/>
        </w:rPr>
        <w:t xml:space="preserve">. Available at: </w:t>
      </w:r>
      <w:r w:rsidRPr="00234FA0">
        <w:rPr>
          <w:szCs w:val="20"/>
          <w:lang w:val="es-MX"/>
        </w:rPr>
        <w:lastRenderedPageBreak/>
        <w:t>https://www.nesta.org.uk/sites/default/files/the_future_of_skills_employment_in_2030_0.pdf.</w:t>
      </w:r>
    </w:p>
    <w:p w14:paraId="06E0AEBA" w14:textId="77777777" w:rsidR="00234FA0" w:rsidRPr="00234FA0" w:rsidRDefault="00234FA0" w:rsidP="00234FA0">
      <w:pPr>
        <w:spacing w:line="360" w:lineRule="auto"/>
        <w:ind w:left="567" w:hanging="567"/>
        <w:rPr>
          <w:szCs w:val="20"/>
          <w:lang w:val="es-MX"/>
        </w:rPr>
      </w:pPr>
      <w:r w:rsidRPr="00234FA0">
        <w:rPr>
          <w:szCs w:val="20"/>
          <w:lang w:val="es-MX"/>
        </w:rPr>
        <w:t xml:space="preserve">Becker, J. M., Klein, K. and Wetzels, M. (2012) ‘Hierarchical Latent Variable Models in PLS-SEM: Guidelines for Using Reflective-Formative Type Models’, </w:t>
      </w:r>
      <w:r w:rsidRPr="00234FA0">
        <w:rPr>
          <w:i/>
          <w:iCs/>
          <w:szCs w:val="20"/>
          <w:lang w:val="es-MX"/>
        </w:rPr>
        <w:t>Long Range Planning</w:t>
      </w:r>
      <w:r w:rsidRPr="00234FA0">
        <w:rPr>
          <w:szCs w:val="20"/>
          <w:lang w:val="es-MX"/>
        </w:rPr>
        <w:t>. Elsevier, 45(5–6), pp. 359–394. doi: 10.1016/j.lrp.2012.10.001.</w:t>
      </w:r>
    </w:p>
    <w:p w14:paraId="749BBE41" w14:textId="77777777" w:rsidR="00234FA0" w:rsidRPr="00234FA0" w:rsidRDefault="00234FA0" w:rsidP="00234FA0">
      <w:pPr>
        <w:spacing w:line="360" w:lineRule="auto"/>
        <w:ind w:left="567" w:hanging="567"/>
        <w:rPr>
          <w:szCs w:val="20"/>
          <w:lang w:val="es-MX"/>
        </w:rPr>
      </w:pPr>
      <w:r w:rsidRPr="00234FA0">
        <w:rPr>
          <w:szCs w:val="20"/>
          <w:lang w:val="es-MX"/>
        </w:rPr>
        <w:t xml:space="preserve">Belair-Gagnon, V. and Steinke, A. J. (2020) ‘Capturing Digital News Innovation Research in Organizations, 1990–2018’, </w:t>
      </w:r>
      <w:r w:rsidRPr="00234FA0">
        <w:rPr>
          <w:i/>
          <w:iCs/>
          <w:szCs w:val="20"/>
          <w:lang w:val="es-MX"/>
        </w:rPr>
        <w:t>Journalism Studies</w:t>
      </w:r>
      <w:r w:rsidRPr="00234FA0">
        <w:rPr>
          <w:szCs w:val="20"/>
          <w:lang w:val="es-MX"/>
        </w:rPr>
        <w:t>. Taylor &amp; Francis, 0(0), pp. 1724–1743. doi: 10.1080/1461670X.2020.1789496.</w:t>
      </w:r>
    </w:p>
    <w:p w14:paraId="15DEB5A8" w14:textId="77777777" w:rsidR="00234FA0" w:rsidRPr="00234FA0" w:rsidRDefault="00234FA0" w:rsidP="00234FA0">
      <w:pPr>
        <w:spacing w:line="360" w:lineRule="auto"/>
        <w:ind w:left="567" w:hanging="567"/>
        <w:rPr>
          <w:szCs w:val="20"/>
          <w:lang w:val="es-MX"/>
        </w:rPr>
      </w:pPr>
      <w:r w:rsidRPr="00234FA0">
        <w:rPr>
          <w:szCs w:val="20"/>
          <w:lang w:val="es-MX"/>
        </w:rPr>
        <w:t xml:space="preserve">Domínguez, H. (2010) </w:t>
      </w:r>
      <w:r w:rsidRPr="00234FA0">
        <w:rPr>
          <w:i/>
          <w:iCs/>
          <w:szCs w:val="20"/>
          <w:lang w:val="es-MX"/>
        </w:rPr>
        <w:t>Innovación: México en el Camino</w:t>
      </w:r>
      <w:r w:rsidRPr="00234FA0">
        <w:rPr>
          <w:szCs w:val="20"/>
          <w:lang w:val="es-MX"/>
        </w:rPr>
        <w:t xml:space="preserve">, </w:t>
      </w:r>
      <w:r w:rsidRPr="00234FA0">
        <w:rPr>
          <w:i/>
          <w:iCs/>
          <w:szCs w:val="20"/>
          <w:lang w:val="es-MX"/>
        </w:rPr>
        <w:t>Revista Digital Expansión</w:t>
      </w:r>
      <w:r w:rsidRPr="00234FA0">
        <w:rPr>
          <w:szCs w:val="20"/>
          <w:lang w:val="es-MX"/>
        </w:rPr>
        <w:t>. Available at: http://expansion.mx/manufactura/2010/10/19/innovacion-mexico-en-el-camino (Accessed: 10 November 2017).</w:t>
      </w:r>
    </w:p>
    <w:p w14:paraId="1BEBB331" w14:textId="77777777" w:rsidR="00234FA0" w:rsidRPr="00234FA0" w:rsidRDefault="00234FA0" w:rsidP="00234FA0">
      <w:pPr>
        <w:spacing w:line="360" w:lineRule="auto"/>
        <w:ind w:left="567" w:hanging="567"/>
        <w:rPr>
          <w:szCs w:val="20"/>
          <w:lang w:val="es-MX"/>
        </w:rPr>
      </w:pPr>
      <w:r w:rsidRPr="00234FA0">
        <w:rPr>
          <w:szCs w:val="20"/>
          <w:lang w:val="es-MX"/>
        </w:rPr>
        <w:t xml:space="preserve">Donthu, N. and Gustafsson, A. (2020) ‘Effects of COVID-19 on business and research’, </w:t>
      </w:r>
      <w:r w:rsidRPr="00234FA0">
        <w:rPr>
          <w:i/>
          <w:iCs/>
          <w:szCs w:val="20"/>
          <w:lang w:val="es-MX"/>
        </w:rPr>
        <w:t>Journal of Business Research</w:t>
      </w:r>
      <w:r w:rsidRPr="00234FA0">
        <w:rPr>
          <w:szCs w:val="20"/>
          <w:lang w:val="es-MX"/>
        </w:rPr>
        <w:t>, 117(June), pp. 284–289. doi: 10.1016/j.jbusres.2020.06.008.</w:t>
      </w:r>
    </w:p>
    <w:p w14:paraId="3C462B61" w14:textId="77777777" w:rsidR="00234FA0" w:rsidRPr="00234FA0" w:rsidRDefault="00234FA0" w:rsidP="00234FA0">
      <w:pPr>
        <w:spacing w:line="360" w:lineRule="auto"/>
        <w:ind w:left="567" w:hanging="567"/>
        <w:rPr>
          <w:szCs w:val="20"/>
          <w:lang w:val="es-MX"/>
        </w:rPr>
      </w:pPr>
      <w:r w:rsidRPr="00234FA0">
        <w:rPr>
          <w:szCs w:val="20"/>
          <w:lang w:val="es-MX"/>
        </w:rPr>
        <w:t xml:space="preserve">Edwards-Schachter, M. (2018) ‘The nature and variety of innovation’, </w:t>
      </w:r>
      <w:r w:rsidRPr="00234FA0">
        <w:rPr>
          <w:i/>
          <w:iCs/>
          <w:szCs w:val="20"/>
          <w:lang w:val="es-MX"/>
        </w:rPr>
        <w:t>International Journal of Innovation Studies</w:t>
      </w:r>
      <w:r w:rsidRPr="00234FA0">
        <w:rPr>
          <w:szCs w:val="20"/>
          <w:lang w:val="es-MX"/>
        </w:rPr>
        <w:t>, 2(2), pp. 65–79. doi: 10.1016/j.ijis.2018.08.004.</w:t>
      </w:r>
    </w:p>
    <w:p w14:paraId="6AFAF423" w14:textId="77777777" w:rsidR="00234FA0" w:rsidRPr="00234FA0" w:rsidRDefault="00234FA0" w:rsidP="00234FA0">
      <w:pPr>
        <w:spacing w:line="360" w:lineRule="auto"/>
        <w:ind w:left="567" w:hanging="567"/>
        <w:rPr>
          <w:szCs w:val="20"/>
          <w:lang w:val="es-MX"/>
        </w:rPr>
      </w:pPr>
      <w:r w:rsidRPr="00234FA0">
        <w:rPr>
          <w:szCs w:val="20"/>
          <w:lang w:val="es-MX"/>
        </w:rPr>
        <w:t>Global Entrepreneurship Research Association (2017) ‘Global Entrepreneurship Monitor - Global Report 2016/17’, p. 180. Available at: http://www.gemconsortium.org/report/49812.</w:t>
      </w:r>
    </w:p>
    <w:p w14:paraId="3874E2FE" w14:textId="77777777" w:rsidR="00234FA0" w:rsidRPr="00234FA0" w:rsidRDefault="00234FA0" w:rsidP="00234FA0">
      <w:pPr>
        <w:spacing w:line="360" w:lineRule="auto"/>
        <w:ind w:left="567" w:hanging="567"/>
        <w:rPr>
          <w:szCs w:val="20"/>
          <w:lang w:val="es-MX"/>
        </w:rPr>
      </w:pPr>
      <w:r w:rsidRPr="00234FA0">
        <w:rPr>
          <w:szCs w:val="20"/>
          <w:lang w:val="es-MX"/>
        </w:rPr>
        <w:t xml:space="preserve">Hair, J. F. </w:t>
      </w:r>
      <w:r w:rsidRPr="00234FA0">
        <w:rPr>
          <w:i/>
          <w:iCs/>
          <w:szCs w:val="20"/>
          <w:lang w:val="es-MX"/>
        </w:rPr>
        <w:t>et al.</w:t>
      </w:r>
      <w:r w:rsidRPr="00234FA0">
        <w:rPr>
          <w:szCs w:val="20"/>
          <w:lang w:val="es-MX"/>
        </w:rPr>
        <w:t xml:space="preserve"> (2010) </w:t>
      </w:r>
      <w:r w:rsidRPr="00234FA0">
        <w:rPr>
          <w:i/>
          <w:iCs/>
          <w:szCs w:val="20"/>
          <w:lang w:val="es-MX"/>
        </w:rPr>
        <w:t>Multivariate Data Analysis</w:t>
      </w:r>
      <w:r w:rsidRPr="00234FA0">
        <w:rPr>
          <w:szCs w:val="20"/>
          <w:lang w:val="es-MX"/>
        </w:rPr>
        <w:t>. 7th edn. Edited by Pearson.</w:t>
      </w:r>
    </w:p>
    <w:p w14:paraId="773502E9" w14:textId="77777777" w:rsidR="00234FA0" w:rsidRPr="00234FA0" w:rsidRDefault="00234FA0" w:rsidP="00234FA0">
      <w:pPr>
        <w:spacing w:line="360" w:lineRule="auto"/>
        <w:ind w:left="567" w:hanging="567"/>
        <w:rPr>
          <w:szCs w:val="20"/>
          <w:lang w:val="es-MX"/>
        </w:rPr>
      </w:pPr>
      <w:r w:rsidRPr="00234FA0">
        <w:rPr>
          <w:szCs w:val="20"/>
          <w:lang w:val="es-MX"/>
        </w:rPr>
        <w:t xml:space="preserve">Hair, J. F. </w:t>
      </w:r>
      <w:r w:rsidRPr="00234FA0">
        <w:rPr>
          <w:i/>
          <w:iCs/>
          <w:szCs w:val="20"/>
          <w:lang w:val="es-MX"/>
        </w:rPr>
        <w:t>et al.</w:t>
      </w:r>
      <w:r w:rsidRPr="00234FA0">
        <w:rPr>
          <w:szCs w:val="20"/>
          <w:lang w:val="es-MX"/>
        </w:rPr>
        <w:t xml:space="preserve"> (2012) ‘An assessment of the use of partial least squares structural equation modeling in marketing research’, </w:t>
      </w:r>
      <w:r w:rsidRPr="00234FA0">
        <w:rPr>
          <w:i/>
          <w:iCs/>
          <w:szCs w:val="20"/>
          <w:lang w:val="es-MX"/>
        </w:rPr>
        <w:t>Journal of the Academy of Marketing Science</w:t>
      </w:r>
      <w:r w:rsidRPr="00234FA0">
        <w:rPr>
          <w:szCs w:val="20"/>
          <w:lang w:val="es-MX"/>
        </w:rPr>
        <w:t>, 40(3), pp. 414–433. doi: 10.1007/s11747-011-0261-6.</w:t>
      </w:r>
    </w:p>
    <w:p w14:paraId="47BDA047" w14:textId="77777777" w:rsidR="00234FA0" w:rsidRPr="00234FA0" w:rsidRDefault="00234FA0" w:rsidP="00234FA0">
      <w:pPr>
        <w:spacing w:line="360" w:lineRule="auto"/>
        <w:ind w:left="567" w:hanging="567"/>
        <w:rPr>
          <w:szCs w:val="20"/>
          <w:lang w:val="es-MX"/>
        </w:rPr>
      </w:pPr>
      <w:r w:rsidRPr="00234FA0">
        <w:rPr>
          <w:szCs w:val="20"/>
          <w:lang w:val="es-MX"/>
        </w:rPr>
        <w:t xml:space="preserve">Hair, J. F. </w:t>
      </w:r>
      <w:r w:rsidRPr="00234FA0">
        <w:rPr>
          <w:i/>
          <w:iCs/>
          <w:szCs w:val="20"/>
          <w:lang w:val="es-MX"/>
        </w:rPr>
        <w:t>et al.</w:t>
      </w:r>
      <w:r w:rsidRPr="00234FA0">
        <w:rPr>
          <w:szCs w:val="20"/>
          <w:lang w:val="es-MX"/>
        </w:rPr>
        <w:t xml:space="preserve"> (2014) ‘Partial least squares structural equation modeling (PLS-SEM)’, </w:t>
      </w:r>
      <w:r w:rsidRPr="00234FA0">
        <w:rPr>
          <w:i/>
          <w:iCs/>
          <w:szCs w:val="20"/>
          <w:lang w:val="es-MX"/>
        </w:rPr>
        <w:t>European Business Review</w:t>
      </w:r>
      <w:r w:rsidRPr="00234FA0">
        <w:rPr>
          <w:szCs w:val="20"/>
          <w:lang w:val="es-MX"/>
        </w:rPr>
        <w:t>, 26(2), pp. 106–121. doi: 10.1108/EBR-10-2013-0128.</w:t>
      </w:r>
    </w:p>
    <w:p w14:paraId="50BA928B" w14:textId="77777777" w:rsidR="00234FA0" w:rsidRPr="00234FA0" w:rsidRDefault="00234FA0" w:rsidP="00234FA0">
      <w:pPr>
        <w:spacing w:line="360" w:lineRule="auto"/>
        <w:ind w:left="567" w:hanging="567"/>
        <w:rPr>
          <w:szCs w:val="20"/>
          <w:lang w:val="es-MX"/>
        </w:rPr>
      </w:pPr>
      <w:r w:rsidRPr="00234FA0">
        <w:rPr>
          <w:szCs w:val="20"/>
          <w:lang w:val="es-MX"/>
        </w:rPr>
        <w:t xml:space="preserve">Hair, J. F. </w:t>
      </w:r>
      <w:r w:rsidRPr="00234FA0">
        <w:rPr>
          <w:i/>
          <w:iCs/>
          <w:szCs w:val="20"/>
          <w:lang w:val="es-MX"/>
        </w:rPr>
        <w:t>et al.</w:t>
      </w:r>
      <w:r w:rsidRPr="00234FA0">
        <w:rPr>
          <w:szCs w:val="20"/>
          <w:lang w:val="es-MX"/>
        </w:rPr>
        <w:t xml:space="preserve"> (2018) </w:t>
      </w:r>
      <w:r w:rsidRPr="00234FA0">
        <w:rPr>
          <w:i/>
          <w:iCs/>
          <w:szCs w:val="20"/>
          <w:lang w:val="es-MX"/>
        </w:rPr>
        <w:t>Advanced Issues in Partial Least Squares Structural Equation Modeling</w:t>
      </w:r>
      <w:r w:rsidRPr="00234FA0">
        <w:rPr>
          <w:szCs w:val="20"/>
          <w:lang w:val="es-MX"/>
        </w:rPr>
        <w:t>. 1ra edn. Edited by S. Publications. SAGE Publications. doi: 1483377393.</w:t>
      </w:r>
    </w:p>
    <w:p w14:paraId="2094B4AA" w14:textId="77777777" w:rsidR="00234FA0" w:rsidRPr="00234FA0" w:rsidRDefault="00234FA0" w:rsidP="00234FA0">
      <w:pPr>
        <w:spacing w:line="360" w:lineRule="auto"/>
        <w:ind w:left="567" w:hanging="567"/>
        <w:rPr>
          <w:szCs w:val="20"/>
          <w:lang w:val="es-MX"/>
        </w:rPr>
      </w:pPr>
      <w:r w:rsidRPr="00234FA0">
        <w:rPr>
          <w:szCs w:val="20"/>
          <w:lang w:val="es-MX"/>
        </w:rPr>
        <w:t xml:space="preserve">Iacobucci, D. (2010) ‘Structural equations modeling: Fit Indices, sample size, and advanced topics’, </w:t>
      </w:r>
      <w:r w:rsidRPr="00234FA0">
        <w:rPr>
          <w:i/>
          <w:iCs/>
          <w:szCs w:val="20"/>
          <w:lang w:val="es-MX"/>
        </w:rPr>
        <w:t>Journal of Consumer Psychology</w:t>
      </w:r>
      <w:r w:rsidRPr="00234FA0">
        <w:rPr>
          <w:szCs w:val="20"/>
          <w:lang w:val="es-MX"/>
        </w:rPr>
        <w:t>, 20(1), pp. 90–98. doi: 10.1016/j.jcps.2009.09.003.</w:t>
      </w:r>
    </w:p>
    <w:p w14:paraId="03E3B341" w14:textId="77777777" w:rsidR="00234FA0" w:rsidRPr="00234FA0" w:rsidRDefault="00234FA0" w:rsidP="00234FA0">
      <w:pPr>
        <w:spacing w:line="360" w:lineRule="auto"/>
        <w:ind w:left="567" w:hanging="567"/>
        <w:rPr>
          <w:szCs w:val="20"/>
          <w:lang w:val="es-MX"/>
        </w:rPr>
      </w:pPr>
      <w:r w:rsidRPr="00234FA0">
        <w:rPr>
          <w:szCs w:val="20"/>
          <w:lang w:val="es-MX"/>
        </w:rPr>
        <w:t xml:space="preserve">INEGI (2014) </w:t>
      </w:r>
      <w:r w:rsidRPr="00234FA0">
        <w:rPr>
          <w:i/>
          <w:iCs/>
          <w:szCs w:val="20"/>
          <w:lang w:val="es-MX"/>
        </w:rPr>
        <w:t>Censo Económico</w:t>
      </w:r>
      <w:r w:rsidRPr="00234FA0">
        <w:rPr>
          <w:szCs w:val="20"/>
          <w:lang w:val="es-MX"/>
        </w:rPr>
        <w:t>. Cd. de México, México. Available at: www.inegi.gob.mx.</w:t>
      </w:r>
    </w:p>
    <w:p w14:paraId="516081C1" w14:textId="77777777" w:rsidR="00234FA0" w:rsidRPr="00234FA0" w:rsidRDefault="00234FA0" w:rsidP="00234FA0">
      <w:pPr>
        <w:spacing w:line="360" w:lineRule="auto"/>
        <w:ind w:left="567" w:hanging="567"/>
        <w:rPr>
          <w:szCs w:val="20"/>
          <w:lang w:val="es-MX"/>
        </w:rPr>
      </w:pPr>
      <w:r w:rsidRPr="00234FA0">
        <w:rPr>
          <w:szCs w:val="20"/>
          <w:lang w:val="es-MX"/>
        </w:rPr>
        <w:lastRenderedPageBreak/>
        <w:t xml:space="preserve">Jiménez, A. </w:t>
      </w:r>
      <w:r w:rsidRPr="00234FA0">
        <w:rPr>
          <w:i/>
          <w:iCs/>
          <w:szCs w:val="20"/>
          <w:lang w:val="es-MX"/>
        </w:rPr>
        <w:t>et al.</w:t>
      </w:r>
      <w:r w:rsidRPr="00234FA0">
        <w:rPr>
          <w:szCs w:val="20"/>
          <w:lang w:val="es-MX"/>
        </w:rPr>
        <w:t xml:space="preserve"> (2015) ‘The impact of educational levels on formal and informal entrepreneurship’, </w:t>
      </w:r>
      <w:r w:rsidRPr="00234FA0">
        <w:rPr>
          <w:i/>
          <w:iCs/>
          <w:szCs w:val="20"/>
          <w:lang w:val="es-MX"/>
        </w:rPr>
        <w:t>BRQ Business Research Quarterly</w:t>
      </w:r>
      <w:r w:rsidRPr="00234FA0">
        <w:rPr>
          <w:szCs w:val="20"/>
          <w:lang w:val="es-MX"/>
        </w:rPr>
        <w:t>. ACEDE, 18(3), pp. 204–212. doi: 10.1016/j.brq.2015.02.002.</w:t>
      </w:r>
    </w:p>
    <w:p w14:paraId="7E5EAB57" w14:textId="77777777" w:rsidR="00234FA0" w:rsidRPr="00234FA0" w:rsidRDefault="00234FA0" w:rsidP="00234FA0">
      <w:pPr>
        <w:spacing w:line="360" w:lineRule="auto"/>
        <w:ind w:left="567" w:hanging="567"/>
        <w:rPr>
          <w:szCs w:val="20"/>
          <w:lang w:val="es-MX"/>
        </w:rPr>
      </w:pPr>
      <w:r w:rsidRPr="00234FA0">
        <w:rPr>
          <w:szCs w:val="20"/>
          <w:lang w:val="es-MX"/>
        </w:rPr>
        <w:t xml:space="preserve">Kogabayev, T. and Maziliauskas, A. (2017) ‘The definition and classification of innovation’, </w:t>
      </w:r>
      <w:r w:rsidRPr="00234FA0">
        <w:rPr>
          <w:i/>
          <w:iCs/>
          <w:szCs w:val="20"/>
          <w:lang w:val="es-MX"/>
        </w:rPr>
        <w:t>HOLISTICA – Journal of Business and Public Administration</w:t>
      </w:r>
      <w:r w:rsidRPr="00234FA0">
        <w:rPr>
          <w:szCs w:val="20"/>
          <w:lang w:val="es-MX"/>
        </w:rPr>
        <w:t>, 8(1), pp. 59–72. doi: 10.1515/hjbpa-2017-0005.</w:t>
      </w:r>
    </w:p>
    <w:p w14:paraId="10E02DD5" w14:textId="77777777" w:rsidR="00234FA0" w:rsidRPr="00234FA0" w:rsidRDefault="00234FA0" w:rsidP="00234FA0">
      <w:pPr>
        <w:spacing w:line="360" w:lineRule="auto"/>
        <w:ind w:left="567" w:hanging="567"/>
        <w:rPr>
          <w:szCs w:val="20"/>
          <w:lang w:val="es-MX"/>
        </w:rPr>
      </w:pPr>
      <w:r w:rsidRPr="00234FA0">
        <w:rPr>
          <w:szCs w:val="20"/>
          <w:lang w:val="es-MX"/>
        </w:rPr>
        <w:t xml:space="preserve">Kraśnicka, T., Głód, W. and Wronka-Pośpiech, M. (2017) ‘Management Innovation and Its Measurement’, </w:t>
      </w:r>
      <w:r w:rsidRPr="00234FA0">
        <w:rPr>
          <w:i/>
          <w:iCs/>
          <w:szCs w:val="20"/>
          <w:lang w:val="es-MX"/>
        </w:rPr>
        <w:t>Journal of Entrepreneurship, Management and Innovation</w:t>
      </w:r>
      <w:r w:rsidRPr="00234FA0">
        <w:rPr>
          <w:szCs w:val="20"/>
          <w:lang w:val="es-MX"/>
        </w:rPr>
        <w:t>, 12(2), pp. 95–121. doi: 10.7341/20161225.</w:t>
      </w:r>
    </w:p>
    <w:p w14:paraId="034AF65C" w14:textId="77777777" w:rsidR="00234FA0" w:rsidRPr="00234FA0" w:rsidRDefault="00234FA0" w:rsidP="00234FA0">
      <w:pPr>
        <w:spacing w:line="360" w:lineRule="auto"/>
        <w:ind w:left="567" w:hanging="567"/>
        <w:rPr>
          <w:szCs w:val="20"/>
          <w:lang w:val="es-MX"/>
        </w:rPr>
      </w:pPr>
      <w:r w:rsidRPr="00234FA0">
        <w:rPr>
          <w:szCs w:val="20"/>
          <w:lang w:val="es-MX"/>
        </w:rPr>
        <w:t xml:space="preserve">Lyytinen, K., Yoo, Y. and Boland, R. J. (2016) ‘Digital product innovation within four classes of innovation networks’, </w:t>
      </w:r>
      <w:r w:rsidRPr="00234FA0">
        <w:rPr>
          <w:i/>
          <w:iCs/>
          <w:szCs w:val="20"/>
          <w:lang w:val="es-MX"/>
        </w:rPr>
        <w:t>Information Systems Journal</w:t>
      </w:r>
      <w:r w:rsidRPr="00234FA0">
        <w:rPr>
          <w:szCs w:val="20"/>
          <w:lang w:val="es-MX"/>
        </w:rPr>
        <w:t>, 26(1), pp. 47–75. doi: 10.1111/isj.12093.</w:t>
      </w:r>
    </w:p>
    <w:p w14:paraId="6DD9E0D1" w14:textId="77777777" w:rsidR="00234FA0" w:rsidRPr="00234FA0" w:rsidRDefault="00234FA0" w:rsidP="00234FA0">
      <w:pPr>
        <w:spacing w:line="360" w:lineRule="auto"/>
        <w:ind w:left="567" w:hanging="567"/>
        <w:rPr>
          <w:szCs w:val="20"/>
          <w:lang w:val="es-MX"/>
        </w:rPr>
      </w:pPr>
      <w:r w:rsidRPr="00234FA0">
        <w:rPr>
          <w:szCs w:val="20"/>
          <w:lang w:val="es-MX"/>
        </w:rPr>
        <w:t xml:space="preserve">Martin, B. R. (2016) ‘Twenty challenges for innovation studies’, </w:t>
      </w:r>
      <w:r w:rsidRPr="00234FA0">
        <w:rPr>
          <w:i/>
          <w:iCs/>
          <w:szCs w:val="20"/>
          <w:lang w:val="es-MX"/>
        </w:rPr>
        <w:t>Science and Public Policy</w:t>
      </w:r>
      <w:r w:rsidRPr="00234FA0">
        <w:rPr>
          <w:szCs w:val="20"/>
          <w:lang w:val="es-MX"/>
        </w:rPr>
        <w:t>, 43(3), pp. 432–450. doi: 10.1093/scipol/scv077.</w:t>
      </w:r>
    </w:p>
    <w:p w14:paraId="5A929103" w14:textId="77777777" w:rsidR="00234FA0" w:rsidRPr="00234FA0" w:rsidRDefault="00234FA0" w:rsidP="00234FA0">
      <w:pPr>
        <w:spacing w:line="360" w:lineRule="auto"/>
        <w:ind w:left="567" w:hanging="567"/>
        <w:rPr>
          <w:szCs w:val="20"/>
          <w:lang w:val="es-MX"/>
        </w:rPr>
      </w:pPr>
      <w:r w:rsidRPr="00234FA0">
        <w:rPr>
          <w:szCs w:val="20"/>
          <w:lang w:val="es-MX"/>
        </w:rPr>
        <w:t xml:space="preserve">OECD/Eurostat (2005) </w:t>
      </w:r>
      <w:r w:rsidRPr="00234FA0">
        <w:rPr>
          <w:i/>
          <w:iCs/>
          <w:szCs w:val="20"/>
          <w:lang w:val="es-MX"/>
        </w:rPr>
        <w:t>Manual de Oslo: Guía para la Recogida e Interpretación de Datos sobre Innovación</w:t>
      </w:r>
      <w:r w:rsidRPr="00234FA0">
        <w:rPr>
          <w:szCs w:val="20"/>
          <w:lang w:val="es-MX"/>
        </w:rPr>
        <w:t xml:space="preserve">, </w:t>
      </w:r>
      <w:r w:rsidRPr="00234FA0">
        <w:rPr>
          <w:i/>
          <w:iCs/>
          <w:szCs w:val="20"/>
          <w:lang w:val="es-MX"/>
        </w:rPr>
        <w:t>Ocde</w:t>
      </w:r>
      <w:r w:rsidRPr="00234FA0">
        <w:rPr>
          <w:szCs w:val="20"/>
          <w:lang w:val="es-MX"/>
        </w:rPr>
        <w:t>. doi: 10.1787/9789264065659-es.</w:t>
      </w:r>
    </w:p>
    <w:p w14:paraId="43D1FDD3" w14:textId="77777777" w:rsidR="00234FA0" w:rsidRPr="00234FA0" w:rsidRDefault="00234FA0" w:rsidP="00234FA0">
      <w:pPr>
        <w:spacing w:line="360" w:lineRule="auto"/>
        <w:ind w:left="567" w:hanging="567"/>
        <w:rPr>
          <w:szCs w:val="20"/>
          <w:lang w:val="es-MX"/>
        </w:rPr>
      </w:pPr>
      <w:r w:rsidRPr="00234FA0">
        <w:rPr>
          <w:szCs w:val="20"/>
          <w:lang w:val="es-MX"/>
        </w:rPr>
        <w:t xml:space="preserve">OECD (2009) </w:t>
      </w:r>
      <w:r w:rsidRPr="00234FA0">
        <w:rPr>
          <w:i/>
          <w:iCs/>
          <w:szCs w:val="20"/>
          <w:lang w:val="es-MX"/>
        </w:rPr>
        <w:t>Estudios de la OCDE de Innovación Regional. 15 Estados Mexicanos</w:t>
      </w:r>
      <w:r w:rsidRPr="00234FA0">
        <w:rPr>
          <w:szCs w:val="20"/>
          <w:lang w:val="es-MX"/>
        </w:rPr>
        <w:t xml:space="preserve">, </w:t>
      </w:r>
      <w:r w:rsidRPr="00234FA0">
        <w:rPr>
          <w:i/>
          <w:iCs/>
          <w:szCs w:val="20"/>
          <w:lang w:val="es-MX"/>
        </w:rPr>
        <w:t>OCDE Reviews of Regional Innovation</w:t>
      </w:r>
      <w:r w:rsidRPr="00234FA0">
        <w:rPr>
          <w:szCs w:val="20"/>
          <w:lang w:val="es-MX"/>
        </w:rPr>
        <w:t>. doi: 10.1787/9789264060906-es.</w:t>
      </w:r>
    </w:p>
    <w:p w14:paraId="6A036A68" w14:textId="77777777" w:rsidR="00234FA0" w:rsidRPr="00234FA0" w:rsidRDefault="00234FA0" w:rsidP="00234FA0">
      <w:pPr>
        <w:spacing w:line="360" w:lineRule="auto"/>
        <w:ind w:left="567" w:hanging="567"/>
        <w:rPr>
          <w:szCs w:val="20"/>
          <w:lang w:val="es-MX"/>
        </w:rPr>
      </w:pPr>
      <w:r w:rsidRPr="00234FA0">
        <w:rPr>
          <w:szCs w:val="20"/>
          <w:lang w:val="es-MX"/>
        </w:rPr>
        <w:t xml:space="preserve">Rao, J. and Weintraub, J. (2013) ‘How innovative is your company’s culture?’, </w:t>
      </w:r>
      <w:r w:rsidRPr="00234FA0">
        <w:rPr>
          <w:i/>
          <w:iCs/>
          <w:szCs w:val="20"/>
          <w:lang w:val="es-MX"/>
        </w:rPr>
        <w:t>MITSLoan Management Review</w:t>
      </w:r>
      <w:r w:rsidRPr="00234FA0">
        <w:rPr>
          <w:szCs w:val="20"/>
          <w:lang w:val="es-MX"/>
        </w:rPr>
        <w:t>, 54(3), pp. 29–37. doi: 10.1177/002205740606301811.</w:t>
      </w:r>
    </w:p>
    <w:p w14:paraId="2016010F" w14:textId="77777777" w:rsidR="00234FA0" w:rsidRPr="00234FA0" w:rsidRDefault="00234FA0" w:rsidP="00234FA0">
      <w:pPr>
        <w:spacing w:line="360" w:lineRule="auto"/>
        <w:ind w:left="567" w:hanging="567"/>
        <w:rPr>
          <w:szCs w:val="20"/>
          <w:lang w:val="es-MX"/>
        </w:rPr>
      </w:pPr>
      <w:r w:rsidRPr="00234FA0">
        <w:rPr>
          <w:szCs w:val="20"/>
          <w:lang w:val="es-MX"/>
        </w:rPr>
        <w:t>Ringle, C. M., Wende, S. and Becker, J. M. (2015) ‘Smart PLS 3’. Boenningstedt, Germany. Available at: http://www.smartpls.com.</w:t>
      </w:r>
    </w:p>
    <w:p w14:paraId="073357CC" w14:textId="77777777" w:rsidR="00234FA0" w:rsidRPr="00234FA0" w:rsidRDefault="00234FA0" w:rsidP="00234FA0">
      <w:pPr>
        <w:spacing w:line="360" w:lineRule="auto"/>
        <w:ind w:left="567" w:hanging="567"/>
        <w:rPr>
          <w:szCs w:val="20"/>
          <w:lang w:val="es-MX"/>
        </w:rPr>
      </w:pPr>
      <w:r w:rsidRPr="00234FA0">
        <w:rPr>
          <w:szCs w:val="20"/>
          <w:lang w:val="es-MX"/>
        </w:rPr>
        <w:t xml:space="preserve">Robinson, K. and Aronica, L. (2016) </w:t>
      </w:r>
      <w:r w:rsidRPr="00234FA0">
        <w:rPr>
          <w:i/>
          <w:iCs/>
          <w:szCs w:val="20"/>
          <w:lang w:val="es-MX"/>
        </w:rPr>
        <w:t>El Elemento: Descrubir tu pasión lo cambia todo</w:t>
      </w:r>
      <w:r w:rsidRPr="00234FA0">
        <w:rPr>
          <w:szCs w:val="20"/>
          <w:lang w:val="es-MX"/>
        </w:rPr>
        <w:t>. 4ta edn. Cd de México, México: Debolsillo.</w:t>
      </w:r>
    </w:p>
    <w:p w14:paraId="57BBDB30" w14:textId="77777777" w:rsidR="00234FA0" w:rsidRPr="00234FA0" w:rsidRDefault="00234FA0" w:rsidP="00234FA0">
      <w:pPr>
        <w:spacing w:line="360" w:lineRule="auto"/>
        <w:ind w:left="567" w:hanging="567"/>
        <w:rPr>
          <w:szCs w:val="20"/>
          <w:lang w:val="es-MX"/>
        </w:rPr>
      </w:pPr>
      <w:r w:rsidRPr="00234FA0">
        <w:rPr>
          <w:szCs w:val="20"/>
          <w:lang w:val="es-MX"/>
        </w:rPr>
        <w:t xml:space="preserve">Sarstedt, M. </w:t>
      </w:r>
      <w:r w:rsidRPr="00234FA0">
        <w:rPr>
          <w:i/>
          <w:iCs/>
          <w:szCs w:val="20"/>
          <w:lang w:val="es-MX"/>
        </w:rPr>
        <w:t>et al.</w:t>
      </w:r>
      <w:r w:rsidRPr="00234FA0">
        <w:rPr>
          <w:szCs w:val="20"/>
          <w:lang w:val="es-MX"/>
        </w:rPr>
        <w:t xml:space="preserve"> (2014) ‘Partial least squares structural equation modeling (PLS-SEM): A useful tool for family business researchers’, </w:t>
      </w:r>
      <w:r w:rsidRPr="00234FA0">
        <w:rPr>
          <w:i/>
          <w:iCs/>
          <w:szCs w:val="20"/>
          <w:lang w:val="es-MX"/>
        </w:rPr>
        <w:t>Journal of Family Business Strategy</w:t>
      </w:r>
      <w:r w:rsidRPr="00234FA0">
        <w:rPr>
          <w:szCs w:val="20"/>
          <w:lang w:val="es-MX"/>
        </w:rPr>
        <w:t>. Elsevier Ltd, 5(1), pp. 105–115. doi: 10.1016/j.jfbs.2014.01.002.</w:t>
      </w:r>
    </w:p>
    <w:p w14:paraId="5CD4B579" w14:textId="77777777" w:rsidR="00234FA0" w:rsidRPr="00234FA0" w:rsidRDefault="00234FA0" w:rsidP="00234FA0">
      <w:pPr>
        <w:spacing w:line="360" w:lineRule="auto"/>
        <w:ind w:left="567" w:hanging="567"/>
        <w:rPr>
          <w:szCs w:val="20"/>
          <w:lang w:val="es-MX"/>
        </w:rPr>
      </w:pPr>
      <w:r w:rsidRPr="00234FA0">
        <w:rPr>
          <w:szCs w:val="20"/>
          <w:lang w:val="es-MX"/>
        </w:rPr>
        <w:t xml:space="preserve">Schmelkes, S. (2020) ‘La educación superior ante la pandemia de la Covid-19: el caso de México’, </w:t>
      </w:r>
      <w:r w:rsidRPr="00234FA0">
        <w:rPr>
          <w:i/>
          <w:iCs/>
          <w:szCs w:val="20"/>
          <w:lang w:val="es-MX"/>
        </w:rPr>
        <w:t>Universidades</w:t>
      </w:r>
      <w:r w:rsidRPr="00234FA0">
        <w:rPr>
          <w:szCs w:val="20"/>
          <w:lang w:val="es-MX"/>
        </w:rPr>
        <w:t>, 71(86), pp. 73–87. doi: 10.36888/udual.universidades.2020.86.407.</w:t>
      </w:r>
    </w:p>
    <w:p w14:paraId="6742D884" w14:textId="77777777" w:rsidR="00234FA0" w:rsidRPr="00234FA0" w:rsidRDefault="00234FA0" w:rsidP="00234FA0">
      <w:pPr>
        <w:spacing w:line="360" w:lineRule="auto"/>
        <w:ind w:left="567" w:hanging="567"/>
        <w:rPr>
          <w:szCs w:val="20"/>
          <w:lang w:val="es-MX"/>
        </w:rPr>
      </w:pPr>
      <w:r w:rsidRPr="00234FA0">
        <w:rPr>
          <w:szCs w:val="20"/>
          <w:lang w:val="es-MX"/>
        </w:rPr>
        <w:lastRenderedPageBreak/>
        <w:t xml:space="preserve">Schumpeter, J. . (1934) </w:t>
      </w:r>
      <w:r w:rsidRPr="00234FA0">
        <w:rPr>
          <w:i/>
          <w:iCs/>
          <w:szCs w:val="20"/>
          <w:lang w:val="es-MX"/>
        </w:rPr>
        <w:t>The Theory of Economic Development</w:t>
      </w:r>
      <w:r w:rsidRPr="00234FA0">
        <w:rPr>
          <w:szCs w:val="20"/>
          <w:lang w:val="es-MX"/>
        </w:rPr>
        <w:t>. Edited by Harvard University Press.</w:t>
      </w:r>
    </w:p>
    <w:p w14:paraId="0A793FEF" w14:textId="77777777" w:rsidR="00234FA0" w:rsidRPr="00234FA0" w:rsidRDefault="00234FA0" w:rsidP="00234FA0">
      <w:pPr>
        <w:spacing w:line="360" w:lineRule="auto"/>
        <w:ind w:left="567" w:hanging="567"/>
        <w:rPr>
          <w:szCs w:val="20"/>
          <w:lang w:val="es-MX"/>
        </w:rPr>
      </w:pPr>
      <w:r w:rsidRPr="00234FA0">
        <w:rPr>
          <w:szCs w:val="20"/>
          <w:lang w:val="es-MX"/>
        </w:rPr>
        <w:t xml:space="preserve">Suárez, O. M. (2004) ‘Schumpeter, Innovación Y Determinismo Tecnológico’, </w:t>
      </w:r>
      <w:r w:rsidRPr="00234FA0">
        <w:rPr>
          <w:i/>
          <w:iCs/>
          <w:szCs w:val="20"/>
          <w:lang w:val="es-MX"/>
        </w:rPr>
        <w:t>Scientia Et Technica</w:t>
      </w:r>
      <w:r w:rsidRPr="00234FA0">
        <w:rPr>
          <w:szCs w:val="20"/>
          <w:lang w:val="es-MX"/>
        </w:rPr>
        <w:t>, 2(25), pp. 209–213. Available at: http://revistas.utp.edu.co/index.php/revistaciencia/article/view/7255%0Ahttp://files/622/Suárez - 2004 - SCHUMPETER, INNOVACIÓN Y DETERMINISMO TECNOLÓGICO.pdf%0Ahttp://files/623/7255.html.</w:t>
      </w:r>
    </w:p>
    <w:p w14:paraId="68967097" w14:textId="77777777" w:rsidR="00234FA0" w:rsidRPr="00234FA0" w:rsidRDefault="00234FA0" w:rsidP="00234FA0">
      <w:pPr>
        <w:spacing w:line="360" w:lineRule="auto"/>
        <w:ind w:left="567" w:hanging="567"/>
        <w:rPr>
          <w:szCs w:val="20"/>
          <w:lang w:val="es-MX"/>
        </w:rPr>
      </w:pPr>
      <w:r w:rsidRPr="00234FA0">
        <w:rPr>
          <w:szCs w:val="20"/>
          <w:lang w:val="es-MX"/>
        </w:rPr>
        <w:t xml:space="preserve">WIPO (2021a) </w:t>
      </w:r>
      <w:r w:rsidRPr="00234FA0">
        <w:rPr>
          <w:i/>
          <w:iCs/>
          <w:szCs w:val="20"/>
          <w:lang w:val="es-MX"/>
        </w:rPr>
        <w:t>Assistive Technology - Technology Trends 2021</w:t>
      </w:r>
      <w:r w:rsidRPr="00234FA0">
        <w:rPr>
          <w:szCs w:val="20"/>
          <w:lang w:val="es-MX"/>
        </w:rPr>
        <w:t>. doi: 10.34667/tind.42582 Attribution.</w:t>
      </w:r>
    </w:p>
    <w:p w14:paraId="6E6A369B" w14:textId="77777777" w:rsidR="00234FA0" w:rsidRPr="00234FA0" w:rsidRDefault="00234FA0" w:rsidP="00234FA0">
      <w:pPr>
        <w:spacing w:line="360" w:lineRule="auto"/>
        <w:ind w:left="567" w:hanging="567"/>
        <w:rPr>
          <w:szCs w:val="20"/>
          <w:lang w:val="es-MX"/>
        </w:rPr>
      </w:pPr>
      <w:r w:rsidRPr="00234FA0">
        <w:rPr>
          <w:szCs w:val="20"/>
          <w:lang w:val="es-MX"/>
        </w:rPr>
        <w:t xml:space="preserve">WIPO (2021b) </w:t>
      </w:r>
      <w:r w:rsidRPr="00234FA0">
        <w:rPr>
          <w:i/>
          <w:iCs/>
          <w:szCs w:val="20"/>
          <w:lang w:val="es-MX"/>
        </w:rPr>
        <w:t>Global Innovation Index 2021</w:t>
      </w:r>
      <w:r w:rsidRPr="00234FA0">
        <w:rPr>
          <w:szCs w:val="20"/>
          <w:lang w:val="es-MX"/>
        </w:rPr>
        <w:t xml:space="preserve">, </w:t>
      </w:r>
      <w:r w:rsidRPr="00234FA0">
        <w:rPr>
          <w:i/>
          <w:iCs/>
          <w:szCs w:val="20"/>
          <w:lang w:val="es-MX"/>
        </w:rPr>
        <w:t>Malaysian Science and Technology Information Centre (MASTIC)</w:t>
      </w:r>
      <w:r w:rsidRPr="00234FA0">
        <w:rPr>
          <w:szCs w:val="20"/>
          <w:lang w:val="es-MX"/>
        </w:rPr>
        <w:t>. doi: 10.34667/tind.44315.</w:t>
      </w:r>
    </w:p>
    <w:p w14:paraId="7BBDCBC5" w14:textId="77777777" w:rsidR="00234FA0" w:rsidRPr="00234FA0" w:rsidRDefault="00234FA0" w:rsidP="00234FA0">
      <w:pPr>
        <w:spacing w:line="360" w:lineRule="auto"/>
        <w:ind w:left="567" w:hanging="567"/>
        <w:rPr>
          <w:szCs w:val="20"/>
          <w:lang w:val="es-MX"/>
        </w:rPr>
      </w:pPr>
      <w:r w:rsidRPr="00234FA0">
        <w:rPr>
          <w:szCs w:val="20"/>
          <w:lang w:val="es-MX"/>
        </w:rPr>
        <w:t xml:space="preserve">Zhou, J. </w:t>
      </w:r>
      <w:r w:rsidRPr="00234FA0">
        <w:rPr>
          <w:i/>
          <w:iCs/>
          <w:szCs w:val="20"/>
          <w:lang w:val="es-MX"/>
        </w:rPr>
        <w:t>et al.</w:t>
      </w:r>
      <w:r w:rsidRPr="00234FA0">
        <w:rPr>
          <w:szCs w:val="20"/>
          <w:lang w:val="es-MX"/>
        </w:rPr>
        <w:t xml:space="preserve"> (2019) ‘Understanding the Receiving Side of Creativity: A Multidisciplinary Review and Implications for Management Research’, </w:t>
      </w:r>
      <w:r w:rsidRPr="00234FA0">
        <w:rPr>
          <w:i/>
          <w:iCs/>
          <w:szCs w:val="20"/>
          <w:lang w:val="es-MX"/>
        </w:rPr>
        <w:t>Journal of Management</w:t>
      </w:r>
      <w:r w:rsidRPr="00234FA0">
        <w:rPr>
          <w:szCs w:val="20"/>
          <w:lang w:val="es-MX"/>
        </w:rPr>
        <w:t>, 45(6), pp. 2570–2595. doi: 10.1177/0149206319827088.</w:t>
      </w:r>
    </w:p>
    <w:p w14:paraId="6D28D31C" w14:textId="40F45921" w:rsidR="00D35C7F" w:rsidRPr="005920E1" w:rsidRDefault="00234FA0" w:rsidP="00234FA0">
      <w:pPr>
        <w:spacing w:line="360" w:lineRule="auto"/>
        <w:ind w:left="567" w:hanging="567"/>
        <w:rPr>
          <w:lang w:val="en-US"/>
        </w:rPr>
      </w:pPr>
      <w:r w:rsidRPr="00234FA0">
        <w:rPr>
          <w:szCs w:val="20"/>
        </w:rPr>
        <w:fldChar w:fldCharType="end"/>
      </w:r>
    </w:p>
    <w:sectPr w:rsidR="00D35C7F" w:rsidRPr="005920E1" w:rsidSect="00D31F93">
      <w:headerReference w:type="default" r:id="rId19"/>
      <w:footerReference w:type="default" r:id="rId20"/>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5AAB9" w14:textId="77777777" w:rsidR="00E864EA" w:rsidRDefault="00E864EA" w:rsidP="008364AB">
      <w:r>
        <w:separator/>
      </w:r>
    </w:p>
  </w:endnote>
  <w:endnote w:type="continuationSeparator" w:id="0">
    <w:p w14:paraId="17B642DB" w14:textId="77777777" w:rsidR="00E864EA" w:rsidRDefault="00E864EA" w:rsidP="0083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6865F" w14:textId="16AE897F" w:rsidR="00D31F93" w:rsidRPr="005C1920" w:rsidRDefault="00D31F93" w:rsidP="005C1920">
    <w:pPr>
      <w:pStyle w:val="Piedepgina"/>
      <w:jc w:val="center"/>
      <w:rPr>
        <w:rFonts w:ascii="Arial" w:hAnsi="Arial" w:cs="Arial"/>
        <w:sz w:val="16"/>
        <w:szCs w:val="16"/>
      </w:rPr>
    </w:pPr>
    <w:r>
      <w:rPr>
        <w:rFonts w:ascii="Arial" w:hAnsi="Arial" w:cs="Arial"/>
        <w:sz w:val="16"/>
        <w:szCs w:val="16"/>
      </w:rPr>
      <w:t>CIGECOM</w:t>
    </w:r>
    <w:r w:rsidRPr="005C1920">
      <w:rPr>
        <w:rFonts w:ascii="Arial" w:hAnsi="Arial" w:cs="Arial"/>
        <w:sz w:val="16"/>
        <w:szCs w:val="16"/>
      </w:rPr>
      <w:t xml:space="preserve"> 20</w:t>
    </w:r>
    <w:r>
      <w:rPr>
        <w:rFonts w:ascii="Arial" w:hAnsi="Arial" w:cs="Arial"/>
        <w:sz w:val="16"/>
        <w:szCs w:val="16"/>
      </w:rPr>
      <w:t>21</w:t>
    </w:r>
  </w:p>
  <w:p w14:paraId="738DACAC" w14:textId="47EF5BD3" w:rsidR="00D31F93" w:rsidRPr="005C1920" w:rsidRDefault="00D31F93" w:rsidP="007754B7">
    <w:pPr>
      <w:pStyle w:val="Sinespaciado"/>
      <w:jc w:val="center"/>
      <w:rPr>
        <w:rFonts w:ascii="Arial" w:hAnsi="Arial" w:cs="Arial"/>
        <w:color w:val="1D1B11"/>
        <w:sz w:val="16"/>
        <w:szCs w:val="16"/>
        <w:lang w:eastAsia="zh-TW"/>
      </w:rPr>
    </w:pPr>
    <w:r w:rsidRPr="004F76A5">
      <w:rPr>
        <w:bCs/>
        <w:color w:val="25314B"/>
        <w:sz w:val="14"/>
        <w:szCs w:val="32"/>
      </w:rPr>
      <w:t xml:space="preserve">CONGRESO </w:t>
    </w:r>
    <w:r>
      <w:rPr>
        <w:bCs/>
        <w:color w:val="25314B"/>
        <w:sz w:val="14"/>
        <w:szCs w:val="32"/>
      </w:rPr>
      <w:t>INTERNACIONAL EN GESTIÓN COMPETITIVA, TECNOLOGÍA E INNOVACIÓN, COLOQUIO ESTUDIANTIL Y IV ENCUENTRO DE INVESTIGADORES DE LA RED IBEROAMERICANA RITMMA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7A8CB" w14:textId="77777777" w:rsidR="00E864EA" w:rsidRDefault="00E864EA" w:rsidP="008364AB">
      <w:r>
        <w:separator/>
      </w:r>
    </w:p>
  </w:footnote>
  <w:footnote w:type="continuationSeparator" w:id="0">
    <w:p w14:paraId="793FDB59" w14:textId="77777777" w:rsidR="00E864EA" w:rsidRDefault="00E864EA" w:rsidP="00836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A09AA" w14:textId="3DFD96B6" w:rsidR="00D31F93" w:rsidRPr="00E92483" w:rsidRDefault="00D31F93" w:rsidP="00802876">
    <w:pPr>
      <w:pStyle w:val="Encabezado"/>
      <w:rPr>
        <w:rFonts w:ascii="Arial" w:hAnsi="Arial" w:cs="Arial"/>
        <w:color w:val="1D1B11"/>
      </w:rPr>
    </w:pPr>
    <w:r w:rsidRPr="007D476C">
      <w:rPr>
        <w:rFonts w:ascii="Arial" w:hAnsi="Arial" w:cs="Arial"/>
        <w:noProof/>
        <w:color w:val="1D1B11"/>
      </w:rPr>
      <w:drawing>
        <wp:anchor distT="0" distB="0" distL="114300" distR="114300" simplePos="0" relativeHeight="251661312" behindDoc="0" locked="0" layoutInCell="1" allowOverlap="1" wp14:anchorId="4E3E0432" wp14:editId="6EDAAE8C">
          <wp:simplePos x="0" y="0"/>
          <wp:positionH relativeFrom="column">
            <wp:posOffset>-948055</wp:posOffset>
          </wp:positionH>
          <wp:positionV relativeFrom="paragraph">
            <wp:posOffset>-174625</wp:posOffset>
          </wp:positionV>
          <wp:extent cx="1432560" cy="384175"/>
          <wp:effectExtent l="0" t="0" r="0" b="0"/>
          <wp:wrapThrough wrapText="bothSides">
            <wp:wrapPolygon edited="0">
              <wp:start x="0" y="0"/>
              <wp:lineTo x="0" y="20350"/>
              <wp:lineTo x="20394" y="20350"/>
              <wp:lineTo x="21255" y="16066"/>
              <wp:lineTo x="21255" y="4284"/>
              <wp:lineTo x="2039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84175"/>
                  </a:xfrm>
                  <a:prstGeom prst="rect">
                    <a:avLst/>
                  </a:prstGeom>
                  <a:noFill/>
                </pic:spPr>
              </pic:pic>
            </a:graphicData>
          </a:graphic>
        </wp:anchor>
      </w:drawing>
    </w:r>
    <w:r w:rsidRPr="007D476C">
      <w:rPr>
        <w:rFonts w:ascii="Arial" w:hAnsi="Arial" w:cs="Arial"/>
        <w:noProof/>
        <w:color w:val="1D1B11"/>
        <w:highlight w:val="yellow"/>
      </w:rPr>
      <w:drawing>
        <wp:anchor distT="0" distB="0" distL="114300" distR="114300" simplePos="0" relativeHeight="251660288" behindDoc="1" locked="0" layoutInCell="1" allowOverlap="1" wp14:anchorId="331DF3C5" wp14:editId="4B0E4BA3">
          <wp:simplePos x="0" y="0"/>
          <wp:positionH relativeFrom="column">
            <wp:posOffset>666750</wp:posOffset>
          </wp:positionH>
          <wp:positionV relativeFrom="paragraph">
            <wp:posOffset>-220345</wp:posOffset>
          </wp:positionV>
          <wp:extent cx="1666875" cy="505460"/>
          <wp:effectExtent l="0" t="0" r="9525" b="8890"/>
          <wp:wrapThrough wrapText="bothSides">
            <wp:wrapPolygon edited="0">
              <wp:start x="0" y="0"/>
              <wp:lineTo x="0" y="21166"/>
              <wp:lineTo x="21477" y="21166"/>
              <wp:lineTo x="21477" y="0"/>
              <wp:lineTo x="0" y="0"/>
            </wp:wrapPolygon>
          </wp:wrapThrough>
          <wp:docPr id="10" name="Imagen 10" descr="M:\Documents\9. CYTED 2017\LIBRO RED RITTMA\Figuras y Tablas\logos portada\Logo RIT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9. CYTED 2017\LIBRO RED RITTMA\Figuras y Tablas\logos portada\Logo RITMM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highlight w:val="yellow"/>
      </w:rPr>
      <w:drawing>
        <wp:anchor distT="0" distB="0" distL="114300" distR="114300" simplePos="0" relativeHeight="251662336" behindDoc="0" locked="0" layoutInCell="1" allowOverlap="1" wp14:anchorId="2B7F0485" wp14:editId="5273BFA5">
          <wp:simplePos x="0" y="0"/>
          <wp:positionH relativeFrom="margin">
            <wp:posOffset>2458720</wp:posOffset>
          </wp:positionH>
          <wp:positionV relativeFrom="paragraph">
            <wp:posOffset>-339725</wp:posOffset>
          </wp:positionV>
          <wp:extent cx="829310" cy="639445"/>
          <wp:effectExtent l="0" t="0" r="8890" b="8255"/>
          <wp:wrapThrough wrapText="bothSides">
            <wp:wrapPolygon edited="0">
              <wp:start x="0" y="0"/>
              <wp:lineTo x="0" y="21235"/>
              <wp:lineTo x="21335" y="21235"/>
              <wp:lineTo x="2133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639445"/>
                  </a:xfrm>
                  <a:prstGeom prst="rect">
                    <a:avLst/>
                  </a:prstGeom>
                  <a:noFill/>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rPr>
      <mc:AlternateContent>
        <mc:Choice Requires="wpg">
          <w:drawing>
            <wp:anchor distT="0" distB="0" distL="114300" distR="114300" simplePos="0" relativeHeight="251659264" behindDoc="0" locked="0" layoutInCell="1" allowOverlap="1" wp14:anchorId="085CD8B7" wp14:editId="3D9E0FC0">
              <wp:simplePos x="0" y="0"/>
              <wp:positionH relativeFrom="column">
                <wp:posOffset>3468370</wp:posOffset>
              </wp:positionH>
              <wp:positionV relativeFrom="paragraph">
                <wp:posOffset>-448310</wp:posOffset>
              </wp:positionV>
              <wp:extent cx="2752725" cy="923925"/>
              <wp:effectExtent l="0" t="0" r="9525" b="9525"/>
              <wp:wrapNone/>
              <wp:docPr id="6" name="Grupo 6"/>
              <wp:cNvGraphicFramePr/>
              <a:graphic xmlns:a="http://schemas.openxmlformats.org/drawingml/2006/main">
                <a:graphicData uri="http://schemas.microsoft.com/office/word/2010/wordprocessingGroup">
                  <wpg:wgp>
                    <wpg:cNvGrpSpPr/>
                    <wpg:grpSpPr>
                      <a:xfrm>
                        <a:off x="0" y="0"/>
                        <a:ext cx="2752725" cy="923925"/>
                        <a:chOff x="0" y="0"/>
                        <a:chExt cx="2933700" cy="981075"/>
                      </a:xfrm>
                    </wpg:grpSpPr>
                    <wps:wsp>
                      <wps:cNvPr id="217" name="Cuadro de texto 2"/>
                      <wps:cNvSpPr txBox="1">
                        <a:spLocks noChangeArrowheads="1"/>
                      </wps:cNvSpPr>
                      <wps:spPr bwMode="auto">
                        <a:xfrm>
                          <a:off x="1285875" y="104775"/>
                          <a:ext cx="1647825" cy="857250"/>
                        </a:xfrm>
                        <a:prstGeom prst="rect">
                          <a:avLst/>
                        </a:prstGeom>
                        <a:solidFill>
                          <a:srgbClr val="FFFFFF"/>
                        </a:solidFill>
                        <a:ln w="9525">
                          <a:noFill/>
                          <a:miter lim="800000"/>
                          <a:headEnd/>
                          <a:tailEnd/>
                        </a:ln>
                      </wps:spPr>
                      <wps:txbx>
                        <w:txbxContent>
                          <w:p w14:paraId="005A22DC" w14:textId="77777777" w:rsidR="00D31F93" w:rsidRPr="00DB5BF4" w:rsidRDefault="00D31F93"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D31F93" w:rsidRPr="00DB5BF4" w:rsidRDefault="00D31F93"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wps:txbx>
                      <wps:bodyPr rot="0" vert="horz" wrap="square" lIns="91440" tIns="45720" rIns="91440" bIns="45720" anchor="t" anchorCtr="0">
                        <a:noAutofit/>
                      </wps:bodyPr>
                    </wps:wsp>
                    <pic:pic xmlns:pic="http://schemas.openxmlformats.org/drawingml/2006/picture">
                      <pic:nvPicPr>
                        <pic:cNvPr id="2" name="Imagen 2" descr="Boomerang"/>
                        <pic:cNvPicPr>
                          <a:picLocks noChangeAspect="1"/>
                        </pic:cNvPicPr>
                      </pic:nvPicPr>
                      <pic:blipFill rotWithShape="1">
                        <a:blip r:embed="rId4">
                          <a:extLst>
                            <a:ext uri="{28A0092B-C50C-407E-A947-70E740481C1C}">
                              <a14:useLocalDpi xmlns:a14="http://schemas.microsoft.com/office/drawing/2010/main" val="0"/>
                            </a:ext>
                          </a:extLst>
                        </a:blip>
                        <a:srcRect r="60360"/>
                        <a:stretch/>
                      </pic:blipFill>
                      <pic:spPr bwMode="auto">
                        <a:xfrm>
                          <a:off x="0" y="0"/>
                          <a:ext cx="1348740" cy="9810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5CD8B7" id="Grupo 6" o:spid="_x0000_s1026" style="position:absolute;margin-left:273.1pt;margin-top:-35.3pt;width:216.75pt;height:72.75pt;z-index:251659264;mso-width-relative:margin;mso-height-relative:margin" coordsize="29337,98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">
              <v:shapetype id="_x0000_t202" coordsize="21600,21600" o:spt="202" path="m,l,21600r21600,l21600,xe">
                <v:stroke joinstyle="miter"/>
                <v:path gradientshapeok="t" o:connecttype="rect"/>
              </v:shapetype>
              <v:shape id="Cuadro de texto 2" o:spid="_x0000_s1027" type="#_x0000_t202" style="position:absolute;left:12858;top:1047;width:16479;height:8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005A22DC" w14:textId="77777777" w:rsidR="00D31F93" w:rsidRPr="00DB5BF4" w:rsidRDefault="00D31F93"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D31F93" w:rsidRPr="00DB5BF4" w:rsidRDefault="00D31F93"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alt="Boomerang" style="position:absolute;width:13487;height:9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">
                <v:imagedata r:id="rId5" o:title="Boomerang" cropright="39558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3095E"/>
    <w:multiLevelType w:val="hybridMultilevel"/>
    <w:tmpl w:val="39B67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C91169"/>
    <w:multiLevelType w:val="multilevel"/>
    <w:tmpl w:val="BA9EB1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F342D27"/>
    <w:multiLevelType w:val="hybridMultilevel"/>
    <w:tmpl w:val="F87673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02023A"/>
    <w:multiLevelType w:val="hybridMultilevel"/>
    <w:tmpl w:val="12DA99F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5D6ABB"/>
    <w:multiLevelType w:val="multilevel"/>
    <w:tmpl w:val="C45A5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4AB"/>
    <w:rsid w:val="000003C3"/>
    <w:rsid w:val="000054E9"/>
    <w:rsid w:val="000123CE"/>
    <w:rsid w:val="00012F9A"/>
    <w:rsid w:val="000164F2"/>
    <w:rsid w:val="00017946"/>
    <w:rsid w:val="000261EC"/>
    <w:rsid w:val="00027222"/>
    <w:rsid w:val="00027577"/>
    <w:rsid w:val="00040D3C"/>
    <w:rsid w:val="00057E54"/>
    <w:rsid w:val="00060520"/>
    <w:rsid w:val="00064268"/>
    <w:rsid w:val="000671D8"/>
    <w:rsid w:val="0006757C"/>
    <w:rsid w:val="00071D40"/>
    <w:rsid w:val="00072961"/>
    <w:rsid w:val="00073679"/>
    <w:rsid w:val="0008489B"/>
    <w:rsid w:val="00093BD5"/>
    <w:rsid w:val="00096E3E"/>
    <w:rsid w:val="000A2379"/>
    <w:rsid w:val="000C7BE0"/>
    <w:rsid w:val="000D02ED"/>
    <w:rsid w:val="000D0DA5"/>
    <w:rsid w:val="000D377E"/>
    <w:rsid w:val="000D5A78"/>
    <w:rsid w:val="000D735E"/>
    <w:rsid w:val="000E4166"/>
    <w:rsid w:val="000E4F95"/>
    <w:rsid w:val="000F2719"/>
    <w:rsid w:val="00100205"/>
    <w:rsid w:val="001052CF"/>
    <w:rsid w:val="00106694"/>
    <w:rsid w:val="00111F74"/>
    <w:rsid w:val="0011292B"/>
    <w:rsid w:val="00115740"/>
    <w:rsid w:val="00121FA7"/>
    <w:rsid w:val="0012717A"/>
    <w:rsid w:val="00130B12"/>
    <w:rsid w:val="00141782"/>
    <w:rsid w:val="00142547"/>
    <w:rsid w:val="00143E28"/>
    <w:rsid w:val="00147D29"/>
    <w:rsid w:val="00147DB2"/>
    <w:rsid w:val="00152B8F"/>
    <w:rsid w:val="00154657"/>
    <w:rsid w:val="0015546E"/>
    <w:rsid w:val="00162133"/>
    <w:rsid w:val="001632C9"/>
    <w:rsid w:val="00166B4D"/>
    <w:rsid w:val="00172639"/>
    <w:rsid w:val="00176A6A"/>
    <w:rsid w:val="00176F0A"/>
    <w:rsid w:val="00180E08"/>
    <w:rsid w:val="00184454"/>
    <w:rsid w:val="0019003D"/>
    <w:rsid w:val="001905EB"/>
    <w:rsid w:val="00192E3F"/>
    <w:rsid w:val="001A0F17"/>
    <w:rsid w:val="001A60DA"/>
    <w:rsid w:val="001B010A"/>
    <w:rsid w:val="001B0580"/>
    <w:rsid w:val="001B2B6F"/>
    <w:rsid w:val="001B37AB"/>
    <w:rsid w:val="001B4000"/>
    <w:rsid w:val="001B5393"/>
    <w:rsid w:val="001B5BC9"/>
    <w:rsid w:val="001C00C5"/>
    <w:rsid w:val="001C307B"/>
    <w:rsid w:val="001C405B"/>
    <w:rsid w:val="001C7FFB"/>
    <w:rsid w:val="001D0D89"/>
    <w:rsid w:val="001D25B2"/>
    <w:rsid w:val="001D333C"/>
    <w:rsid w:val="001D3B35"/>
    <w:rsid w:val="001D5934"/>
    <w:rsid w:val="001D6B22"/>
    <w:rsid w:val="001D788D"/>
    <w:rsid w:val="001E0CC0"/>
    <w:rsid w:val="001E69EA"/>
    <w:rsid w:val="001F59B8"/>
    <w:rsid w:val="002030FF"/>
    <w:rsid w:val="00203FFA"/>
    <w:rsid w:val="00207E89"/>
    <w:rsid w:val="00214B91"/>
    <w:rsid w:val="00214C47"/>
    <w:rsid w:val="00220DFB"/>
    <w:rsid w:val="002220EA"/>
    <w:rsid w:val="002340BE"/>
    <w:rsid w:val="00234FA0"/>
    <w:rsid w:val="00242C2A"/>
    <w:rsid w:val="00243537"/>
    <w:rsid w:val="00246A56"/>
    <w:rsid w:val="00255942"/>
    <w:rsid w:val="002570C6"/>
    <w:rsid w:val="002615E4"/>
    <w:rsid w:val="00264F2B"/>
    <w:rsid w:val="00265BFC"/>
    <w:rsid w:val="0027197E"/>
    <w:rsid w:val="00274AC3"/>
    <w:rsid w:val="002778F6"/>
    <w:rsid w:val="0028026B"/>
    <w:rsid w:val="002833EA"/>
    <w:rsid w:val="002843D2"/>
    <w:rsid w:val="002846CE"/>
    <w:rsid w:val="00286AA9"/>
    <w:rsid w:val="00290318"/>
    <w:rsid w:val="00290DF4"/>
    <w:rsid w:val="00292C3F"/>
    <w:rsid w:val="002B5347"/>
    <w:rsid w:val="002B7AD5"/>
    <w:rsid w:val="002C076B"/>
    <w:rsid w:val="002C08F4"/>
    <w:rsid w:val="002C5715"/>
    <w:rsid w:val="002D2771"/>
    <w:rsid w:val="002D5602"/>
    <w:rsid w:val="002D7FE2"/>
    <w:rsid w:val="002E0639"/>
    <w:rsid w:val="002E365B"/>
    <w:rsid w:val="002E428A"/>
    <w:rsid w:val="002F2B1C"/>
    <w:rsid w:val="002F5FC6"/>
    <w:rsid w:val="00301AF8"/>
    <w:rsid w:val="00304034"/>
    <w:rsid w:val="00320D92"/>
    <w:rsid w:val="00320E66"/>
    <w:rsid w:val="003243D3"/>
    <w:rsid w:val="00324D75"/>
    <w:rsid w:val="00340BC7"/>
    <w:rsid w:val="00351D23"/>
    <w:rsid w:val="0035407C"/>
    <w:rsid w:val="003540CC"/>
    <w:rsid w:val="00354C71"/>
    <w:rsid w:val="0035671F"/>
    <w:rsid w:val="00360634"/>
    <w:rsid w:val="00360D01"/>
    <w:rsid w:val="003619E6"/>
    <w:rsid w:val="003627D5"/>
    <w:rsid w:val="00372A7C"/>
    <w:rsid w:val="003760E3"/>
    <w:rsid w:val="00390169"/>
    <w:rsid w:val="0039448D"/>
    <w:rsid w:val="003978FD"/>
    <w:rsid w:val="003A20E8"/>
    <w:rsid w:val="003A6DDE"/>
    <w:rsid w:val="003B39C7"/>
    <w:rsid w:val="003B641A"/>
    <w:rsid w:val="003C0974"/>
    <w:rsid w:val="003C13FA"/>
    <w:rsid w:val="003C1F4E"/>
    <w:rsid w:val="003C2AF4"/>
    <w:rsid w:val="003C67FE"/>
    <w:rsid w:val="003E3F50"/>
    <w:rsid w:val="003E707C"/>
    <w:rsid w:val="004004B6"/>
    <w:rsid w:val="004011BF"/>
    <w:rsid w:val="0040167C"/>
    <w:rsid w:val="00412541"/>
    <w:rsid w:val="004166A9"/>
    <w:rsid w:val="00422176"/>
    <w:rsid w:val="0043263B"/>
    <w:rsid w:val="00433AB5"/>
    <w:rsid w:val="004346DC"/>
    <w:rsid w:val="00437D97"/>
    <w:rsid w:val="00445F41"/>
    <w:rsid w:val="004465FF"/>
    <w:rsid w:val="00447930"/>
    <w:rsid w:val="004512E1"/>
    <w:rsid w:val="00453A9C"/>
    <w:rsid w:val="00453B77"/>
    <w:rsid w:val="00461645"/>
    <w:rsid w:val="004621A5"/>
    <w:rsid w:val="00462E21"/>
    <w:rsid w:val="00464DC2"/>
    <w:rsid w:val="0048127B"/>
    <w:rsid w:val="00483ADE"/>
    <w:rsid w:val="004840A7"/>
    <w:rsid w:val="004845D0"/>
    <w:rsid w:val="00484E4B"/>
    <w:rsid w:val="00486BAA"/>
    <w:rsid w:val="0049206C"/>
    <w:rsid w:val="0049500C"/>
    <w:rsid w:val="00496CC0"/>
    <w:rsid w:val="004A1E8A"/>
    <w:rsid w:val="004A46CA"/>
    <w:rsid w:val="004A625A"/>
    <w:rsid w:val="004A6280"/>
    <w:rsid w:val="004A6E01"/>
    <w:rsid w:val="004B4DDD"/>
    <w:rsid w:val="004B5C3C"/>
    <w:rsid w:val="004C0B51"/>
    <w:rsid w:val="004C4C38"/>
    <w:rsid w:val="004C5D23"/>
    <w:rsid w:val="004C70DA"/>
    <w:rsid w:val="004D0C50"/>
    <w:rsid w:val="004D4FC6"/>
    <w:rsid w:val="004D54DD"/>
    <w:rsid w:val="004D7B80"/>
    <w:rsid w:val="004E270B"/>
    <w:rsid w:val="004E54B3"/>
    <w:rsid w:val="004F05F4"/>
    <w:rsid w:val="004F76A5"/>
    <w:rsid w:val="00500027"/>
    <w:rsid w:val="0050392A"/>
    <w:rsid w:val="00505FCB"/>
    <w:rsid w:val="00510356"/>
    <w:rsid w:val="0051390B"/>
    <w:rsid w:val="00513FEB"/>
    <w:rsid w:val="00526EF1"/>
    <w:rsid w:val="00534E2C"/>
    <w:rsid w:val="00535060"/>
    <w:rsid w:val="00540021"/>
    <w:rsid w:val="00551203"/>
    <w:rsid w:val="00552E7B"/>
    <w:rsid w:val="005561C6"/>
    <w:rsid w:val="00557E05"/>
    <w:rsid w:val="00560F4B"/>
    <w:rsid w:val="00566402"/>
    <w:rsid w:val="005765D4"/>
    <w:rsid w:val="0057707E"/>
    <w:rsid w:val="00580CB1"/>
    <w:rsid w:val="00584E21"/>
    <w:rsid w:val="00585EB7"/>
    <w:rsid w:val="005874F8"/>
    <w:rsid w:val="005920E1"/>
    <w:rsid w:val="00597946"/>
    <w:rsid w:val="005A2CF8"/>
    <w:rsid w:val="005A404A"/>
    <w:rsid w:val="005A4211"/>
    <w:rsid w:val="005A52DE"/>
    <w:rsid w:val="005A5ABF"/>
    <w:rsid w:val="005B228B"/>
    <w:rsid w:val="005B602F"/>
    <w:rsid w:val="005C1920"/>
    <w:rsid w:val="005C1975"/>
    <w:rsid w:val="005C1D89"/>
    <w:rsid w:val="005C28CD"/>
    <w:rsid w:val="005C3E0C"/>
    <w:rsid w:val="005C55EC"/>
    <w:rsid w:val="005C7AE1"/>
    <w:rsid w:val="005D1C85"/>
    <w:rsid w:val="005D1F36"/>
    <w:rsid w:val="005E5F38"/>
    <w:rsid w:val="005E6C50"/>
    <w:rsid w:val="005F203F"/>
    <w:rsid w:val="005F2C44"/>
    <w:rsid w:val="005F429B"/>
    <w:rsid w:val="00605C09"/>
    <w:rsid w:val="00614747"/>
    <w:rsid w:val="006244ED"/>
    <w:rsid w:val="00625163"/>
    <w:rsid w:val="006375D9"/>
    <w:rsid w:val="00641667"/>
    <w:rsid w:val="006419CF"/>
    <w:rsid w:val="00642373"/>
    <w:rsid w:val="00653A27"/>
    <w:rsid w:val="00656956"/>
    <w:rsid w:val="00657AEE"/>
    <w:rsid w:val="00662293"/>
    <w:rsid w:val="00664A95"/>
    <w:rsid w:val="0067345A"/>
    <w:rsid w:val="00675814"/>
    <w:rsid w:val="006818BD"/>
    <w:rsid w:val="00681901"/>
    <w:rsid w:val="00682A07"/>
    <w:rsid w:val="00684516"/>
    <w:rsid w:val="00685A31"/>
    <w:rsid w:val="0068602F"/>
    <w:rsid w:val="00687D71"/>
    <w:rsid w:val="006A01B5"/>
    <w:rsid w:val="006A3435"/>
    <w:rsid w:val="006A6E39"/>
    <w:rsid w:val="006B1EE1"/>
    <w:rsid w:val="006B3C9F"/>
    <w:rsid w:val="006C4D6C"/>
    <w:rsid w:val="006D1290"/>
    <w:rsid w:val="006D2662"/>
    <w:rsid w:val="006E2CD7"/>
    <w:rsid w:val="006E35F7"/>
    <w:rsid w:val="006E5A9E"/>
    <w:rsid w:val="006E638B"/>
    <w:rsid w:val="006F1947"/>
    <w:rsid w:val="006F31D0"/>
    <w:rsid w:val="00700684"/>
    <w:rsid w:val="0070600D"/>
    <w:rsid w:val="007147D0"/>
    <w:rsid w:val="00716619"/>
    <w:rsid w:val="00716F83"/>
    <w:rsid w:val="00722B7A"/>
    <w:rsid w:val="0072654D"/>
    <w:rsid w:val="007272C1"/>
    <w:rsid w:val="0073023B"/>
    <w:rsid w:val="00730A75"/>
    <w:rsid w:val="00732397"/>
    <w:rsid w:val="0073447F"/>
    <w:rsid w:val="007371ED"/>
    <w:rsid w:val="00737A79"/>
    <w:rsid w:val="007414D3"/>
    <w:rsid w:val="0074534D"/>
    <w:rsid w:val="00745C6E"/>
    <w:rsid w:val="00746838"/>
    <w:rsid w:val="007516A2"/>
    <w:rsid w:val="00752308"/>
    <w:rsid w:val="0075318D"/>
    <w:rsid w:val="00756ECB"/>
    <w:rsid w:val="0077120C"/>
    <w:rsid w:val="0077349A"/>
    <w:rsid w:val="0077379C"/>
    <w:rsid w:val="007754B7"/>
    <w:rsid w:val="00782FDA"/>
    <w:rsid w:val="007847D0"/>
    <w:rsid w:val="007908D8"/>
    <w:rsid w:val="00791454"/>
    <w:rsid w:val="00792686"/>
    <w:rsid w:val="007A2F46"/>
    <w:rsid w:val="007A3A19"/>
    <w:rsid w:val="007A58C1"/>
    <w:rsid w:val="007A674C"/>
    <w:rsid w:val="007A7ED5"/>
    <w:rsid w:val="007B010A"/>
    <w:rsid w:val="007B1AB9"/>
    <w:rsid w:val="007B4D42"/>
    <w:rsid w:val="007B5441"/>
    <w:rsid w:val="007B7360"/>
    <w:rsid w:val="007C1891"/>
    <w:rsid w:val="007C34BD"/>
    <w:rsid w:val="007D0136"/>
    <w:rsid w:val="007D356F"/>
    <w:rsid w:val="007D4682"/>
    <w:rsid w:val="007D476C"/>
    <w:rsid w:val="007D6FC9"/>
    <w:rsid w:val="007E6846"/>
    <w:rsid w:val="00802876"/>
    <w:rsid w:val="00807F4F"/>
    <w:rsid w:val="0081013F"/>
    <w:rsid w:val="0081108F"/>
    <w:rsid w:val="00814C59"/>
    <w:rsid w:val="00820290"/>
    <w:rsid w:val="00823029"/>
    <w:rsid w:val="00834B0B"/>
    <w:rsid w:val="008364AB"/>
    <w:rsid w:val="00841670"/>
    <w:rsid w:val="0084378E"/>
    <w:rsid w:val="00843932"/>
    <w:rsid w:val="00852426"/>
    <w:rsid w:val="00854A1A"/>
    <w:rsid w:val="0086018A"/>
    <w:rsid w:val="00862DEC"/>
    <w:rsid w:val="0086706D"/>
    <w:rsid w:val="00870ADF"/>
    <w:rsid w:val="00870E0B"/>
    <w:rsid w:val="00873787"/>
    <w:rsid w:val="00875C90"/>
    <w:rsid w:val="00876EA7"/>
    <w:rsid w:val="008805C7"/>
    <w:rsid w:val="00884AEB"/>
    <w:rsid w:val="00890936"/>
    <w:rsid w:val="008935F2"/>
    <w:rsid w:val="00894D77"/>
    <w:rsid w:val="008A44BA"/>
    <w:rsid w:val="008A6CF7"/>
    <w:rsid w:val="008B1976"/>
    <w:rsid w:val="008B1E91"/>
    <w:rsid w:val="008B4CC9"/>
    <w:rsid w:val="008B6079"/>
    <w:rsid w:val="008C02F1"/>
    <w:rsid w:val="008C3B1B"/>
    <w:rsid w:val="008C6048"/>
    <w:rsid w:val="008D09C2"/>
    <w:rsid w:val="008D455C"/>
    <w:rsid w:val="008E109D"/>
    <w:rsid w:val="008E32D6"/>
    <w:rsid w:val="008E4878"/>
    <w:rsid w:val="008E4F17"/>
    <w:rsid w:val="008E5AF6"/>
    <w:rsid w:val="008E7435"/>
    <w:rsid w:val="008E764A"/>
    <w:rsid w:val="008E7AE7"/>
    <w:rsid w:val="008F11CD"/>
    <w:rsid w:val="008F46CF"/>
    <w:rsid w:val="008F55C8"/>
    <w:rsid w:val="008F6D2A"/>
    <w:rsid w:val="009043CF"/>
    <w:rsid w:val="009048EA"/>
    <w:rsid w:val="009052F7"/>
    <w:rsid w:val="00906FD3"/>
    <w:rsid w:val="00915AF6"/>
    <w:rsid w:val="0091625D"/>
    <w:rsid w:val="009256AC"/>
    <w:rsid w:val="00931198"/>
    <w:rsid w:val="00931CF2"/>
    <w:rsid w:val="00931DA4"/>
    <w:rsid w:val="009324E7"/>
    <w:rsid w:val="00943668"/>
    <w:rsid w:val="0095204C"/>
    <w:rsid w:val="0095668C"/>
    <w:rsid w:val="009569C5"/>
    <w:rsid w:val="00957ED2"/>
    <w:rsid w:val="009649F0"/>
    <w:rsid w:val="00977B06"/>
    <w:rsid w:val="009818A0"/>
    <w:rsid w:val="00984467"/>
    <w:rsid w:val="00984CD4"/>
    <w:rsid w:val="00990424"/>
    <w:rsid w:val="00992090"/>
    <w:rsid w:val="00992AA3"/>
    <w:rsid w:val="009A072A"/>
    <w:rsid w:val="009A0A8E"/>
    <w:rsid w:val="009A0DD8"/>
    <w:rsid w:val="009A1F5D"/>
    <w:rsid w:val="009A69F8"/>
    <w:rsid w:val="009B010C"/>
    <w:rsid w:val="009B01A5"/>
    <w:rsid w:val="009D1659"/>
    <w:rsid w:val="009D459A"/>
    <w:rsid w:val="009E009E"/>
    <w:rsid w:val="009E07AB"/>
    <w:rsid w:val="009E28E7"/>
    <w:rsid w:val="009F1E65"/>
    <w:rsid w:val="009F42E3"/>
    <w:rsid w:val="009F74D7"/>
    <w:rsid w:val="009F7FFE"/>
    <w:rsid w:val="00A03E67"/>
    <w:rsid w:val="00A04F07"/>
    <w:rsid w:val="00A069AB"/>
    <w:rsid w:val="00A06C0A"/>
    <w:rsid w:val="00A102B9"/>
    <w:rsid w:val="00A13AD5"/>
    <w:rsid w:val="00A1657D"/>
    <w:rsid w:val="00A175AA"/>
    <w:rsid w:val="00A2096D"/>
    <w:rsid w:val="00A33A8F"/>
    <w:rsid w:val="00A34A5E"/>
    <w:rsid w:val="00A34A67"/>
    <w:rsid w:val="00A42240"/>
    <w:rsid w:val="00A42A9A"/>
    <w:rsid w:val="00A44990"/>
    <w:rsid w:val="00A51818"/>
    <w:rsid w:val="00A642B2"/>
    <w:rsid w:val="00A7002A"/>
    <w:rsid w:val="00A800DF"/>
    <w:rsid w:val="00A9013B"/>
    <w:rsid w:val="00A91D8C"/>
    <w:rsid w:val="00A95BB6"/>
    <w:rsid w:val="00AA0715"/>
    <w:rsid w:val="00AA232D"/>
    <w:rsid w:val="00AA4D52"/>
    <w:rsid w:val="00AA6DDE"/>
    <w:rsid w:val="00AC0058"/>
    <w:rsid w:val="00AC1568"/>
    <w:rsid w:val="00AC626F"/>
    <w:rsid w:val="00AD0950"/>
    <w:rsid w:val="00AD1396"/>
    <w:rsid w:val="00AD42C4"/>
    <w:rsid w:val="00AD666C"/>
    <w:rsid w:val="00AD7D57"/>
    <w:rsid w:val="00AE3CC4"/>
    <w:rsid w:val="00AE4361"/>
    <w:rsid w:val="00AF7DAA"/>
    <w:rsid w:val="00B02FA0"/>
    <w:rsid w:val="00B05EFB"/>
    <w:rsid w:val="00B06DE8"/>
    <w:rsid w:val="00B12999"/>
    <w:rsid w:val="00B12DF1"/>
    <w:rsid w:val="00B12EF4"/>
    <w:rsid w:val="00B161DE"/>
    <w:rsid w:val="00B17F9C"/>
    <w:rsid w:val="00B235C6"/>
    <w:rsid w:val="00B27A39"/>
    <w:rsid w:val="00B3174C"/>
    <w:rsid w:val="00B40540"/>
    <w:rsid w:val="00B40A2B"/>
    <w:rsid w:val="00B40E10"/>
    <w:rsid w:val="00B5012A"/>
    <w:rsid w:val="00B567D3"/>
    <w:rsid w:val="00B60952"/>
    <w:rsid w:val="00B6282F"/>
    <w:rsid w:val="00B65B9B"/>
    <w:rsid w:val="00B66AA0"/>
    <w:rsid w:val="00B8026C"/>
    <w:rsid w:val="00B810EB"/>
    <w:rsid w:val="00B81624"/>
    <w:rsid w:val="00B81BE9"/>
    <w:rsid w:val="00B96ACD"/>
    <w:rsid w:val="00BA5468"/>
    <w:rsid w:val="00BB2505"/>
    <w:rsid w:val="00BB40D6"/>
    <w:rsid w:val="00BB6B8D"/>
    <w:rsid w:val="00BB6E23"/>
    <w:rsid w:val="00BB6F69"/>
    <w:rsid w:val="00BC4194"/>
    <w:rsid w:val="00BC5294"/>
    <w:rsid w:val="00BC7C27"/>
    <w:rsid w:val="00BD1D72"/>
    <w:rsid w:val="00BE0008"/>
    <w:rsid w:val="00BE0A6D"/>
    <w:rsid w:val="00BF248D"/>
    <w:rsid w:val="00BF3BDF"/>
    <w:rsid w:val="00BF4161"/>
    <w:rsid w:val="00BF5B44"/>
    <w:rsid w:val="00BF7C81"/>
    <w:rsid w:val="00C05AED"/>
    <w:rsid w:val="00C07F26"/>
    <w:rsid w:val="00C130E3"/>
    <w:rsid w:val="00C14621"/>
    <w:rsid w:val="00C16630"/>
    <w:rsid w:val="00C2116A"/>
    <w:rsid w:val="00C2620B"/>
    <w:rsid w:val="00C3452D"/>
    <w:rsid w:val="00C40D8D"/>
    <w:rsid w:val="00C4161C"/>
    <w:rsid w:val="00C4224A"/>
    <w:rsid w:val="00C50B77"/>
    <w:rsid w:val="00C52573"/>
    <w:rsid w:val="00C54E25"/>
    <w:rsid w:val="00C612C7"/>
    <w:rsid w:val="00C674DB"/>
    <w:rsid w:val="00C73E81"/>
    <w:rsid w:val="00C74246"/>
    <w:rsid w:val="00C75CCA"/>
    <w:rsid w:val="00C82987"/>
    <w:rsid w:val="00C85883"/>
    <w:rsid w:val="00C86394"/>
    <w:rsid w:val="00C90840"/>
    <w:rsid w:val="00C96F84"/>
    <w:rsid w:val="00C97153"/>
    <w:rsid w:val="00CA12C6"/>
    <w:rsid w:val="00CA250A"/>
    <w:rsid w:val="00CB2031"/>
    <w:rsid w:val="00CB58D2"/>
    <w:rsid w:val="00CB6698"/>
    <w:rsid w:val="00CB75D2"/>
    <w:rsid w:val="00CC13C2"/>
    <w:rsid w:val="00CC581E"/>
    <w:rsid w:val="00CC7FDF"/>
    <w:rsid w:val="00CD0F73"/>
    <w:rsid w:val="00CD1DC8"/>
    <w:rsid w:val="00CD4787"/>
    <w:rsid w:val="00CD4CCF"/>
    <w:rsid w:val="00CE2591"/>
    <w:rsid w:val="00CE5BA5"/>
    <w:rsid w:val="00CF0620"/>
    <w:rsid w:val="00CF33EC"/>
    <w:rsid w:val="00CF7337"/>
    <w:rsid w:val="00CF7722"/>
    <w:rsid w:val="00D038AB"/>
    <w:rsid w:val="00D055BC"/>
    <w:rsid w:val="00D06E20"/>
    <w:rsid w:val="00D07945"/>
    <w:rsid w:val="00D079A9"/>
    <w:rsid w:val="00D1403D"/>
    <w:rsid w:val="00D14E6C"/>
    <w:rsid w:val="00D21ECB"/>
    <w:rsid w:val="00D25B1C"/>
    <w:rsid w:val="00D25BAD"/>
    <w:rsid w:val="00D26799"/>
    <w:rsid w:val="00D27ACE"/>
    <w:rsid w:val="00D31DBA"/>
    <w:rsid w:val="00D31F93"/>
    <w:rsid w:val="00D3221D"/>
    <w:rsid w:val="00D32AA8"/>
    <w:rsid w:val="00D34530"/>
    <w:rsid w:val="00D35C7F"/>
    <w:rsid w:val="00D477D2"/>
    <w:rsid w:val="00D60290"/>
    <w:rsid w:val="00D631F0"/>
    <w:rsid w:val="00D63A7A"/>
    <w:rsid w:val="00D70668"/>
    <w:rsid w:val="00D740DF"/>
    <w:rsid w:val="00D77D97"/>
    <w:rsid w:val="00D82068"/>
    <w:rsid w:val="00D82D97"/>
    <w:rsid w:val="00D911C9"/>
    <w:rsid w:val="00D92252"/>
    <w:rsid w:val="00D94B13"/>
    <w:rsid w:val="00D96468"/>
    <w:rsid w:val="00D96F4A"/>
    <w:rsid w:val="00DA2D9F"/>
    <w:rsid w:val="00DA378A"/>
    <w:rsid w:val="00DA5C1A"/>
    <w:rsid w:val="00DA6D4A"/>
    <w:rsid w:val="00DB2506"/>
    <w:rsid w:val="00DB384B"/>
    <w:rsid w:val="00DB6336"/>
    <w:rsid w:val="00DB7F0D"/>
    <w:rsid w:val="00DC0D58"/>
    <w:rsid w:val="00DC0E4A"/>
    <w:rsid w:val="00DC1CC3"/>
    <w:rsid w:val="00DD39D6"/>
    <w:rsid w:val="00DD3BC8"/>
    <w:rsid w:val="00DD7D71"/>
    <w:rsid w:val="00DE356F"/>
    <w:rsid w:val="00DE3C35"/>
    <w:rsid w:val="00DE5960"/>
    <w:rsid w:val="00DF5016"/>
    <w:rsid w:val="00E00E14"/>
    <w:rsid w:val="00E02A3D"/>
    <w:rsid w:val="00E04449"/>
    <w:rsid w:val="00E05BF2"/>
    <w:rsid w:val="00E10FF3"/>
    <w:rsid w:val="00E15D2B"/>
    <w:rsid w:val="00E20E7A"/>
    <w:rsid w:val="00E242C5"/>
    <w:rsid w:val="00E24C42"/>
    <w:rsid w:val="00E25441"/>
    <w:rsid w:val="00E36958"/>
    <w:rsid w:val="00E41F74"/>
    <w:rsid w:val="00E46125"/>
    <w:rsid w:val="00E5300A"/>
    <w:rsid w:val="00E54478"/>
    <w:rsid w:val="00E66E40"/>
    <w:rsid w:val="00E72F28"/>
    <w:rsid w:val="00E765FA"/>
    <w:rsid w:val="00E76C3A"/>
    <w:rsid w:val="00E806A4"/>
    <w:rsid w:val="00E83A35"/>
    <w:rsid w:val="00E8629E"/>
    <w:rsid w:val="00E864EA"/>
    <w:rsid w:val="00E92483"/>
    <w:rsid w:val="00E939FE"/>
    <w:rsid w:val="00E94FEB"/>
    <w:rsid w:val="00E9540F"/>
    <w:rsid w:val="00EA3CD1"/>
    <w:rsid w:val="00EA6EF6"/>
    <w:rsid w:val="00EB21DF"/>
    <w:rsid w:val="00EB2A4D"/>
    <w:rsid w:val="00EB36C3"/>
    <w:rsid w:val="00EB6CE3"/>
    <w:rsid w:val="00EC4390"/>
    <w:rsid w:val="00EC5293"/>
    <w:rsid w:val="00EC7947"/>
    <w:rsid w:val="00ED3330"/>
    <w:rsid w:val="00ED4137"/>
    <w:rsid w:val="00ED587C"/>
    <w:rsid w:val="00ED7856"/>
    <w:rsid w:val="00EE1478"/>
    <w:rsid w:val="00EE6819"/>
    <w:rsid w:val="00EE79C3"/>
    <w:rsid w:val="00EF5E24"/>
    <w:rsid w:val="00EF61EB"/>
    <w:rsid w:val="00F00FD4"/>
    <w:rsid w:val="00F12078"/>
    <w:rsid w:val="00F155F5"/>
    <w:rsid w:val="00F21071"/>
    <w:rsid w:val="00F21FC3"/>
    <w:rsid w:val="00F2286E"/>
    <w:rsid w:val="00F23ABB"/>
    <w:rsid w:val="00F23FA3"/>
    <w:rsid w:val="00F25669"/>
    <w:rsid w:val="00F3034A"/>
    <w:rsid w:val="00F31322"/>
    <w:rsid w:val="00F37D01"/>
    <w:rsid w:val="00F4714F"/>
    <w:rsid w:val="00F52788"/>
    <w:rsid w:val="00F649CC"/>
    <w:rsid w:val="00F65E7A"/>
    <w:rsid w:val="00F70E2B"/>
    <w:rsid w:val="00F722B9"/>
    <w:rsid w:val="00F8269B"/>
    <w:rsid w:val="00F82B46"/>
    <w:rsid w:val="00F82D14"/>
    <w:rsid w:val="00F850C2"/>
    <w:rsid w:val="00F86E11"/>
    <w:rsid w:val="00F949A4"/>
    <w:rsid w:val="00FA49FE"/>
    <w:rsid w:val="00FB0449"/>
    <w:rsid w:val="00FB4084"/>
    <w:rsid w:val="00FB5E4E"/>
    <w:rsid w:val="00FC5029"/>
    <w:rsid w:val="00FC704C"/>
    <w:rsid w:val="00FD30EE"/>
    <w:rsid w:val="00FD6058"/>
    <w:rsid w:val="00FE1408"/>
    <w:rsid w:val="00FE1525"/>
    <w:rsid w:val="00FE3FBA"/>
    <w:rsid w:val="00FE56B0"/>
    <w:rsid w:val="00FF5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54CD5A"/>
  <w15:docId w15:val="{A4351CD1-ED2C-4CE5-B537-ADD92205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846"/>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7E6846"/>
    <w:rPr>
      <w:rFonts w:ascii="Times New Roman" w:eastAsia="Times New Roman" w:hAnsi="Times New Roman"/>
      <w:sz w:val="24"/>
      <w:szCs w:val="24"/>
      <w:lang w:val="es-ES" w:eastAsia="es-ES"/>
    </w:rPr>
  </w:style>
  <w:style w:type="paragraph" w:styleId="Prrafodelista">
    <w:name w:val="List Paragraph"/>
    <w:basedOn w:val="Normal"/>
    <w:uiPriority w:val="99"/>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99"/>
    <w:rsid w:val="008364A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2E428A"/>
    <w:pPr>
      <w:jc w:val="center"/>
    </w:pPr>
    <w:rPr>
      <w:rFonts w:eastAsia="Times New Roman"/>
      <w:b/>
      <w:bCs/>
      <w:lang w:val="es-MX"/>
    </w:rPr>
  </w:style>
  <w:style w:type="character" w:customStyle="1" w:styleId="TextoindependienteCar">
    <w:name w:val="Texto independiente Car"/>
    <w:link w:val="Textoindependiente"/>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semiHidden/>
    <w:unhideWhenUsed/>
    <w:rsid w:val="00360D01"/>
    <w:rPr>
      <w:sz w:val="20"/>
      <w:szCs w:val="20"/>
    </w:rPr>
  </w:style>
  <w:style w:type="character" w:customStyle="1" w:styleId="TextocomentarioCar">
    <w:name w:val="Texto comentario Car"/>
    <w:link w:val="Textocomentario"/>
    <w:uiPriority w:val="99"/>
    <w:semiHidden/>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table" w:styleId="Tablanormal5">
    <w:name w:val="Plain Table 5"/>
    <w:basedOn w:val="Tablanormal"/>
    <w:uiPriority w:val="45"/>
    <w:rsid w:val="00234FA0"/>
    <w:rPr>
      <w:rFonts w:asciiTheme="minorHAnsi" w:eastAsiaTheme="minorHAnsi" w:hAnsiTheme="minorHAnsi" w:cstheme="minorBidi"/>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4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5B2925-34EA-2D49-9391-9AD5673AD46B}" type="doc">
      <dgm:prSet loTypeId="urn:microsoft.com/office/officeart/2005/8/layout/pyramid4" loCatId="" qsTypeId="urn:microsoft.com/office/officeart/2005/8/quickstyle/simple3" qsCatId="simple" csTypeId="urn:microsoft.com/office/officeart/2005/8/colors/colorful1" csCatId="colorful" phldr="1"/>
      <dgm:spPr/>
    </dgm:pt>
    <dgm:pt modelId="{C908ED36-9AF3-4F4A-9914-8E523703C673}">
      <dgm:prSet phldrT="[Texto]"/>
      <dgm:spPr/>
      <dgm:t>
        <a:bodyPr/>
        <a:lstStyle/>
        <a:p>
          <a:pPr algn="ctr"/>
          <a:r>
            <a:rPr lang="es-MX"/>
            <a:t>talento</a:t>
          </a:r>
        </a:p>
      </dgm:t>
    </dgm:pt>
    <dgm:pt modelId="{EDB2F077-F3DF-0748-A829-A6362F7C129B}" type="parTrans" cxnId="{10DDE38A-5D63-DF4A-851B-DA12C4053385}">
      <dgm:prSet/>
      <dgm:spPr/>
      <dgm:t>
        <a:bodyPr/>
        <a:lstStyle/>
        <a:p>
          <a:pPr algn="ctr"/>
          <a:endParaRPr lang="es-MX"/>
        </a:p>
      </dgm:t>
    </dgm:pt>
    <dgm:pt modelId="{C0626A72-5F2A-9646-BD4A-20579489FB5C}" type="sibTrans" cxnId="{10DDE38A-5D63-DF4A-851B-DA12C4053385}">
      <dgm:prSet/>
      <dgm:spPr/>
      <dgm:t>
        <a:bodyPr/>
        <a:lstStyle/>
        <a:p>
          <a:pPr algn="ctr"/>
          <a:endParaRPr lang="es-MX"/>
        </a:p>
      </dgm:t>
    </dgm:pt>
    <dgm:pt modelId="{21F49A63-E873-134B-BF02-91D88B5216AD}">
      <dgm:prSet phldrT="[Texto]"/>
      <dgm:spPr/>
      <dgm:t>
        <a:bodyPr/>
        <a:lstStyle/>
        <a:p>
          <a:pPr algn="ctr"/>
          <a:r>
            <a:rPr lang="es-MX"/>
            <a:t>tecnología</a:t>
          </a:r>
        </a:p>
      </dgm:t>
    </dgm:pt>
    <dgm:pt modelId="{04694528-8EBE-8943-84A8-90A16633B6F6}" type="parTrans" cxnId="{585C996C-A70B-AD44-9AAE-6B302C457FBA}">
      <dgm:prSet/>
      <dgm:spPr/>
      <dgm:t>
        <a:bodyPr/>
        <a:lstStyle/>
        <a:p>
          <a:pPr algn="ctr"/>
          <a:endParaRPr lang="es-MX"/>
        </a:p>
      </dgm:t>
    </dgm:pt>
    <dgm:pt modelId="{3F6F4AC9-340C-284E-8E6C-369BF0328899}" type="sibTrans" cxnId="{585C996C-A70B-AD44-9AAE-6B302C457FBA}">
      <dgm:prSet/>
      <dgm:spPr/>
      <dgm:t>
        <a:bodyPr/>
        <a:lstStyle/>
        <a:p>
          <a:pPr algn="ctr"/>
          <a:endParaRPr lang="es-MX"/>
        </a:p>
      </dgm:t>
    </dgm:pt>
    <dgm:pt modelId="{70EA74A6-BDF0-6849-A37E-1ED850AB88A1}">
      <dgm:prSet phldrT="[Texto]"/>
      <dgm:spPr/>
      <dgm:t>
        <a:bodyPr/>
        <a:lstStyle/>
        <a:p>
          <a:pPr algn="ctr"/>
          <a:r>
            <a:rPr lang="es-MX"/>
            <a:t>integralidad</a:t>
          </a:r>
        </a:p>
      </dgm:t>
    </dgm:pt>
    <dgm:pt modelId="{4CF89BB4-1345-B142-8E2E-E0E30E019425}" type="parTrans" cxnId="{F6D8CF71-D3C8-2D42-925B-7B071890A016}">
      <dgm:prSet/>
      <dgm:spPr/>
      <dgm:t>
        <a:bodyPr/>
        <a:lstStyle/>
        <a:p>
          <a:pPr algn="ctr"/>
          <a:endParaRPr lang="es-MX"/>
        </a:p>
      </dgm:t>
    </dgm:pt>
    <dgm:pt modelId="{2DD41D39-5925-1F4E-AF20-C260D0B0CEA9}" type="sibTrans" cxnId="{F6D8CF71-D3C8-2D42-925B-7B071890A016}">
      <dgm:prSet/>
      <dgm:spPr/>
      <dgm:t>
        <a:bodyPr/>
        <a:lstStyle/>
        <a:p>
          <a:pPr algn="ctr"/>
          <a:endParaRPr lang="es-MX"/>
        </a:p>
      </dgm:t>
    </dgm:pt>
    <dgm:pt modelId="{C0426E83-BFAA-AF46-9269-BE0A2934D203}">
      <dgm:prSet/>
      <dgm:spPr/>
      <dgm:t>
        <a:bodyPr/>
        <a:lstStyle/>
        <a:p>
          <a:r>
            <a:rPr lang="es-MX"/>
            <a:t>mercado</a:t>
          </a:r>
        </a:p>
      </dgm:t>
    </dgm:pt>
    <dgm:pt modelId="{EE3D96FA-4CCA-B04E-8F57-40CF1E5626AB}" type="parTrans" cxnId="{C14326BC-3A31-4E4C-A997-B1C591041CC0}">
      <dgm:prSet/>
      <dgm:spPr/>
      <dgm:t>
        <a:bodyPr/>
        <a:lstStyle/>
        <a:p>
          <a:endParaRPr lang="es-MX"/>
        </a:p>
      </dgm:t>
    </dgm:pt>
    <dgm:pt modelId="{51D1C991-8263-3C40-B487-1A9BEC147772}" type="sibTrans" cxnId="{C14326BC-3A31-4E4C-A997-B1C591041CC0}">
      <dgm:prSet/>
      <dgm:spPr/>
      <dgm:t>
        <a:bodyPr/>
        <a:lstStyle/>
        <a:p>
          <a:endParaRPr lang="es-MX"/>
        </a:p>
      </dgm:t>
    </dgm:pt>
    <dgm:pt modelId="{DEC9C19D-6CEC-B545-97D6-803FE19A606A}" type="pres">
      <dgm:prSet presAssocID="{095B2925-34EA-2D49-9391-9AD5673AD46B}" presName="compositeShape" presStyleCnt="0">
        <dgm:presLayoutVars>
          <dgm:chMax val="9"/>
          <dgm:dir/>
          <dgm:resizeHandles val="exact"/>
        </dgm:presLayoutVars>
      </dgm:prSet>
      <dgm:spPr/>
    </dgm:pt>
    <dgm:pt modelId="{68AA2080-435C-A343-9278-5BEF16901339}" type="pres">
      <dgm:prSet presAssocID="{095B2925-34EA-2D49-9391-9AD5673AD46B}" presName="triangle1" presStyleLbl="node1" presStyleIdx="0" presStyleCnt="4" custLinFactNeighborX="-525" custLinFactNeighborY="-82940">
        <dgm:presLayoutVars>
          <dgm:bulletEnabled val="1"/>
        </dgm:presLayoutVars>
      </dgm:prSet>
      <dgm:spPr/>
    </dgm:pt>
    <dgm:pt modelId="{AF1A77B8-9B86-7C47-AA7D-79AEC45704CA}" type="pres">
      <dgm:prSet presAssocID="{095B2925-34EA-2D49-9391-9AD5673AD46B}" presName="triangle2" presStyleLbl="node1" presStyleIdx="1" presStyleCnt="4">
        <dgm:presLayoutVars>
          <dgm:bulletEnabled val="1"/>
        </dgm:presLayoutVars>
      </dgm:prSet>
      <dgm:spPr/>
    </dgm:pt>
    <dgm:pt modelId="{9EBD1A0A-02A9-DB4C-97A8-082ACD7745BF}" type="pres">
      <dgm:prSet presAssocID="{095B2925-34EA-2D49-9391-9AD5673AD46B}" presName="triangle3" presStyleLbl="node1" presStyleIdx="2" presStyleCnt="4">
        <dgm:presLayoutVars>
          <dgm:bulletEnabled val="1"/>
        </dgm:presLayoutVars>
      </dgm:prSet>
      <dgm:spPr/>
    </dgm:pt>
    <dgm:pt modelId="{7D263D4E-CA30-1640-B029-3E03D1EEDBEA}" type="pres">
      <dgm:prSet presAssocID="{095B2925-34EA-2D49-9391-9AD5673AD46B}" presName="triangle4" presStyleLbl="node1" presStyleIdx="3" presStyleCnt="4">
        <dgm:presLayoutVars>
          <dgm:bulletEnabled val="1"/>
        </dgm:presLayoutVars>
      </dgm:prSet>
      <dgm:spPr/>
    </dgm:pt>
  </dgm:ptLst>
  <dgm:cxnLst>
    <dgm:cxn modelId="{585C996C-A70B-AD44-9AAE-6B302C457FBA}" srcId="{095B2925-34EA-2D49-9391-9AD5673AD46B}" destId="{21F49A63-E873-134B-BF02-91D88B5216AD}" srcOrd="1" destOrd="0" parTransId="{04694528-8EBE-8943-84A8-90A16633B6F6}" sibTransId="{3F6F4AC9-340C-284E-8E6C-369BF0328899}"/>
    <dgm:cxn modelId="{8D3FDE6F-039C-C747-8064-34AF55D626A4}" type="presOf" srcId="{C0426E83-BFAA-AF46-9269-BE0A2934D203}" destId="{7D263D4E-CA30-1640-B029-3E03D1EEDBEA}" srcOrd="0" destOrd="0" presId="urn:microsoft.com/office/officeart/2005/8/layout/pyramid4"/>
    <dgm:cxn modelId="{F6D8CF71-D3C8-2D42-925B-7B071890A016}" srcId="{095B2925-34EA-2D49-9391-9AD5673AD46B}" destId="{70EA74A6-BDF0-6849-A37E-1ED850AB88A1}" srcOrd="2" destOrd="0" parTransId="{4CF89BB4-1345-B142-8E2E-E0E30E019425}" sibTransId="{2DD41D39-5925-1F4E-AF20-C260D0B0CEA9}"/>
    <dgm:cxn modelId="{5C524272-95A4-A14D-8A3E-771E7AA3A83C}" type="presOf" srcId="{095B2925-34EA-2D49-9391-9AD5673AD46B}" destId="{DEC9C19D-6CEC-B545-97D6-803FE19A606A}" srcOrd="0" destOrd="0" presId="urn:microsoft.com/office/officeart/2005/8/layout/pyramid4"/>
    <dgm:cxn modelId="{2F13E377-FAA1-3147-85F0-71FF65AC37BC}" type="presOf" srcId="{70EA74A6-BDF0-6849-A37E-1ED850AB88A1}" destId="{9EBD1A0A-02A9-DB4C-97A8-082ACD7745BF}" srcOrd="0" destOrd="0" presId="urn:microsoft.com/office/officeart/2005/8/layout/pyramid4"/>
    <dgm:cxn modelId="{10DDE38A-5D63-DF4A-851B-DA12C4053385}" srcId="{095B2925-34EA-2D49-9391-9AD5673AD46B}" destId="{C908ED36-9AF3-4F4A-9914-8E523703C673}" srcOrd="0" destOrd="0" parTransId="{EDB2F077-F3DF-0748-A829-A6362F7C129B}" sibTransId="{C0626A72-5F2A-9646-BD4A-20579489FB5C}"/>
    <dgm:cxn modelId="{269ABD8C-DAFE-1647-A942-BAC3F5186D15}" type="presOf" srcId="{C908ED36-9AF3-4F4A-9914-8E523703C673}" destId="{68AA2080-435C-A343-9278-5BEF16901339}" srcOrd="0" destOrd="0" presId="urn:microsoft.com/office/officeart/2005/8/layout/pyramid4"/>
    <dgm:cxn modelId="{0F58CC92-39E9-824A-9A10-71AB9F1467BC}" type="presOf" srcId="{21F49A63-E873-134B-BF02-91D88B5216AD}" destId="{AF1A77B8-9B86-7C47-AA7D-79AEC45704CA}" srcOrd="0" destOrd="0" presId="urn:microsoft.com/office/officeart/2005/8/layout/pyramid4"/>
    <dgm:cxn modelId="{C14326BC-3A31-4E4C-A997-B1C591041CC0}" srcId="{095B2925-34EA-2D49-9391-9AD5673AD46B}" destId="{C0426E83-BFAA-AF46-9269-BE0A2934D203}" srcOrd="3" destOrd="0" parTransId="{EE3D96FA-4CCA-B04E-8F57-40CF1E5626AB}" sibTransId="{51D1C991-8263-3C40-B487-1A9BEC147772}"/>
    <dgm:cxn modelId="{7899FA6A-34EE-6B47-9BC9-FE160F900D67}" type="presParOf" srcId="{DEC9C19D-6CEC-B545-97D6-803FE19A606A}" destId="{68AA2080-435C-A343-9278-5BEF16901339}" srcOrd="0" destOrd="0" presId="urn:microsoft.com/office/officeart/2005/8/layout/pyramid4"/>
    <dgm:cxn modelId="{2449EA9F-E095-B640-B873-AD2AC26A9075}" type="presParOf" srcId="{DEC9C19D-6CEC-B545-97D6-803FE19A606A}" destId="{AF1A77B8-9B86-7C47-AA7D-79AEC45704CA}" srcOrd="1" destOrd="0" presId="urn:microsoft.com/office/officeart/2005/8/layout/pyramid4"/>
    <dgm:cxn modelId="{AF0A6C3F-A927-5644-AAF8-1161ECBBEC28}" type="presParOf" srcId="{DEC9C19D-6CEC-B545-97D6-803FE19A606A}" destId="{9EBD1A0A-02A9-DB4C-97A8-082ACD7745BF}" srcOrd="2" destOrd="0" presId="urn:microsoft.com/office/officeart/2005/8/layout/pyramid4"/>
    <dgm:cxn modelId="{2F12B960-D6F8-0C46-B390-40839E88052B}" type="presParOf" srcId="{DEC9C19D-6CEC-B545-97D6-803FE19A606A}" destId="{7D263D4E-CA30-1640-B029-3E03D1EEDBEA}" srcOrd="3" destOrd="0" presId="urn:microsoft.com/office/officeart/2005/8/layout/pyramid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A2080-435C-A343-9278-5BEF16901339}">
      <dsp:nvSpPr>
        <dsp:cNvPr id="0" name=""/>
        <dsp:cNvSpPr/>
      </dsp:nvSpPr>
      <dsp:spPr>
        <a:xfrm>
          <a:off x="891204" y="0"/>
          <a:ext cx="910590" cy="910590"/>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a:t>talento</a:t>
          </a:r>
        </a:p>
      </dsp:txBody>
      <dsp:txXfrm>
        <a:off x="1118852" y="455295"/>
        <a:ext cx="455295" cy="455295"/>
      </dsp:txXfrm>
    </dsp:sp>
    <dsp:sp modelId="{AF1A77B8-9B86-7C47-AA7D-79AEC45704CA}">
      <dsp:nvSpPr>
        <dsp:cNvPr id="0" name=""/>
        <dsp:cNvSpPr/>
      </dsp:nvSpPr>
      <dsp:spPr>
        <a:xfrm>
          <a:off x="440690" y="910590"/>
          <a:ext cx="910590" cy="910590"/>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a:t>tecnología</a:t>
          </a:r>
        </a:p>
      </dsp:txBody>
      <dsp:txXfrm>
        <a:off x="668338" y="1365885"/>
        <a:ext cx="455295" cy="455295"/>
      </dsp:txXfrm>
    </dsp:sp>
    <dsp:sp modelId="{9EBD1A0A-02A9-DB4C-97A8-082ACD7745BF}">
      <dsp:nvSpPr>
        <dsp:cNvPr id="0" name=""/>
        <dsp:cNvSpPr/>
      </dsp:nvSpPr>
      <dsp:spPr>
        <a:xfrm rot="10800000">
          <a:off x="895984" y="910590"/>
          <a:ext cx="910590" cy="910590"/>
        </a:xfrm>
        <a:prstGeom prst="triangl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a:t>integralidad</a:t>
          </a:r>
        </a:p>
      </dsp:txBody>
      <dsp:txXfrm rot="10800000">
        <a:off x="1123631" y="910590"/>
        <a:ext cx="455295" cy="455295"/>
      </dsp:txXfrm>
    </dsp:sp>
    <dsp:sp modelId="{7D263D4E-CA30-1640-B029-3E03D1EEDBEA}">
      <dsp:nvSpPr>
        <dsp:cNvPr id="0" name=""/>
        <dsp:cNvSpPr/>
      </dsp:nvSpPr>
      <dsp:spPr>
        <a:xfrm>
          <a:off x="1351280" y="910590"/>
          <a:ext cx="910590" cy="910590"/>
        </a:xfrm>
        <a:prstGeom prst="triangl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a:t>mercado</a:t>
          </a:r>
        </a:p>
      </dsp:txBody>
      <dsp:txXfrm>
        <a:off x="1578928" y="1365885"/>
        <a:ext cx="455295" cy="45529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E47B5-CD2F-438E-AC0E-7852E3D0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17536</Words>
  <Characters>96452</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Título de la ponencia (Solo primera mayúscula, lo demás en letra minúscula)</vt:lpstr>
    </vt:vector>
  </TitlesOfParts>
  <Company>Hewlett-Packard Company</Company>
  <LinksUpToDate>false</LinksUpToDate>
  <CharactersWithSpaces>113761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 la ponencia (Solo primera mayúscula, lo demás en letra minúscula)</dc:title>
  <dc:creator>Rossy</dc:creator>
  <cp:lastModifiedBy>fjalvarez</cp:lastModifiedBy>
  <cp:revision>3</cp:revision>
  <cp:lastPrinted>2020-09-15T15:30:00Z</cp:lastPrinted>
  <dcterms:created xsi:type="dcterms:W3CDTF">2021-10-12T05:37:00Z</dcterms:created>
  <dcterms:modified xsi:type="dcterms:W3CDTF">2021-10-12T05:42:00Z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0e014416-9233-3cdd-8f19-71189c85e200</vt:lpwstr>
  </property>
  <property fmtid="{D5CDD505-2E9C-101B-9397-08002B2CF9AE}" pid="24" name="Mendeley Citation Style_1">
    <vt:lpwstr>http://www.zotero.org/styles/harvard-cite-them-right</vt:lpwstr>
  </property>
</Properties>
</file>