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ook w:val="00A0" w:firstRow="1" w:lastRow="0" w:firstColumn="1" w:lastColumn="0" w:noHBand="0" w:noVBand="0"/>
      </w:tblPr>
      <w:tblGrid>
        <w:gridCol w:w="392"/>
        <w:gridCol w:w="7968"/>
      </w:tblGrid>
      <w:tr w:rsidR="00D35C7F" w:rsidRPr="004D4FC6" w14:paraId="3B5F20CD" w14:textId="77777777">
        <w:tc>
          <w:tcPr>
            <w:tcW w:w="392" w:type="dxa"/>
            <w:shd w:val="clear" w:color="auto" w:fill="0F243E"/>
          </w:tcPr>
          <w:p w14:paraId="3DD39B85" w14:textId="66CDC108" w:rsidR="00D35C7F" w:rsidRPr="00E92483" w:rsidRDefault="00D35C7F" w:rsidP="004D4FC6">
            <w:pPr>
              <w:spacing w:line="360" w:lineRule="auto"/>
              <w:jc w:val="center"/>
              <w:rPr>
                <w:rFonts w:ascii="Arial" w:hAnsi="Arial" w:cs="Arial"/>
                <w:b/>
                <w:bCs/>
                <w:color w:val="FFFFFF"/>
                <w:sz w:val="28"/>
                <w:szCs w:val="28"/>
              </w:rPr>
            </w:pPr>
          </w:p>
        </w:tc>
        <w:tc>
          <w:tcPr>
            <w:tcW w:w="7968" w:type="dxa"/>
            <w:shd w:val="clear" w:color="auto" w:fill="DBE5F1"/>
          </w:tcPr>
          <w:p w14:paraId="7A020AA4" w14:textId="03C51D6E" w:rsidR="00D35C7F" w:rsidRPr="008805C7" w:rsidRDefault="006763FA" w:rsidP="00802876">
            <w:pPr>
              <w:spacing w:line="360" w:lineRule="auto"/>
              <w:rPr>
                <w:b/>
                <w:bCs/>
                <w:sz w:val="18"/>
                <w:szCs w:val="18"/>
              </w:rPr>
            </w:pPr>
            <w:bookmarkStart w:id="0" w:name="_GoBack"/>
            <w:r>
              <w:rPr>
                <w:b/>
                <w:bCs/>
                <w:sz w:val="32"/>
                <w:szCs w:val="28"/>
                <w:lang w:val="es-ES_tradnl"/>
              </w:rPr>
              <w:t>La p</w:t>
            </w:r>
            <w:r w:rsidRPr="006763FA">
              <w:rPr>
                <w:b/>
                <w:bCs/>
                <w:sz w:val="32"/>
                <w:szCs w:val="28"/>
                <w:lang w:val="es-ES_tradnl"/>
              </w:rPr>
              <w:t xml:space="preserve">rospectiva tecnológica </w:t>
            </w:r>
            <w:r>
              <w:rPr>
                <w:b/>
                <w:bCs/>
                <w:sz w:val="32"/>
                <w:szCs w:val="28"/>
                <w:lang w:val="es-ES_tradnl"/>
              </w:rPr>
              <w:t xml:space="preserve">estudiada desde la perspectiva de las capacidades dinámicas. </w:t>
            </w:r>
            <w:bookmarkEnd w:id="0"/>
          </w:p>
        </w:tc>
      </w:tr>
    </w:tbl>
    <w:p w14:paraId="4B7A2F9D" w14:textId="3A95F2E5" w:rsidR="00D35C7F" w:rsidRDefault="00D35C7F" w:rsidP="00264F2B">
      <w:pPr>
        <w:spacing w:line="360" w:lineRule="auto"/>
      </w:pPr>
    </w:p>
    <w:p w14:paraId="29817D64" w14:textId="1AF84ACF" w:rsidR="00D35C7F" w:rsidRDefault="006763FA" w:rsidP="00E92483">
      <w:pPr>
        <w:spacing w:line="360" w:lineRule="auto"/>
        <w:jc w:val="center"/>
      </w:pPr>
      <w:r>
        <w:t>Bermúdez Peña, Carla Patricia</w:t>
      </w:r>
    </w:p>
    <w:p w14:paraId="67B4399F" w14:textId="5177D8FB" w:rsidR="00E92483" w:rsidRPr="005647CA" w:rsidRDefault="006763FA" w:rsidP="005647CA">
      <w:pPr>
        <w:spacing w:line="360" w:lineRule="auto"/>
        <w:jc w:val="center"/>
      </w:pPr>
      <w:r>
        <w:t xml:space="preserve">Flores Agüero Francisco </w:t>
      </w:r>
    </w:p>
    <w:p w14:paraId="6CB748B9" w14:textId="3AC12D04" w:rsidR="00E92483" w:rsidRPr="00F21071" w:rsidRDefault="006763FA" w:rsidP="00E92483">
      <w:pPr>
        <w:spacing w:line="360" w:lineRule="auto"/>
        <w:jc w:val="center"/>
        <w:rPr>
          <w:color w:val="244061"/>
          <w:szCs w:val="20"/>
        </w:rPr>
      </w:pPr>
      <w:r>
        <w:rPr>
          <w:color w:val="244061"/>
          <w:szCs w:val="20"/>
        </w:rPr>
        <w:t xml:space="preserve">Universidad Autónoma de Querétaro, Facultad de Contaduría y Administración. </w:t>
      </w:r>
    </w:p>
    <w:p w14:paraId="070CC14E" w14:textId="77777777" w:rsidR="006D2662" w:rsidRDefault="006D2662" w:rsidP="006D2662">
      <w:pPr>
        <w:spacing w:line="360" w:lineRule="auto"/>
        <w:jc w:val="both"/>
        <w:rPr>
          <w:rFonts w:ascii="Arial" w:hAnsi="Arial" w:cs="Arial"/>
          <w:i/>
          <w:sz w:val="20"/>
          <w:szCs w:val="20"/>
        </w:rPr>
      </w:pPr>
    </w:p>
    <w:p w14:paraId="6847ECA5" w14:textId="09FD336B" w:rsidR="00D35C7F" w:rsidRPr="00F21071" w:rsidRDefault="00D35C7F" w:rsidP="00264F2B">
      <w:pPr>
        <w:spacing w:line="360" w:lineRule="auto"/>
        <w:rPr>
          <w:color w:val="244061"/>
          <w:sz w:val="28"/>
        </w:rPr>
      </w:pPr>
      <w:r w:rsidRPr="00F21071">
        <w:rPr>
          <w:b/>
          <w:color w:val="244061"/>
          <w:sz w:val="28"/>
        </w:rPr>
        <w:t>Resumen</w:t>
      </w:r>
      <w:r w:rsidR="00E92483" w:rsidRPr="00F21071">
        <w:rPr>
          <w:color w:val="244061"/>
          <w:sz w:val="28"/>
        </w:rPr>
        <w:t xml:space="preserve"> </w:t>
      </w:r>
    </w:p>
    <w:p w14:paraId="0EFA5920" w14:textId="77777777" w:rsidR="005647CA" w:rsidRPr="005647CA" w:rsidRDefault="005647CA" w:rsidP="005647CA">
      <w:pPr>
        <w:jc w:val="both"/>
        <w:rPr>
          <w:i/>
          <w:szCs w:val="20"/>
        </w:rPr>
      </w:pPr>
      <w:r w:rsidRPr="005647CA">
        <w:rPr>
          <w:i/>
          <w:szCs w:val="20"/>
        </w:rPr>
        <w:t xml:space="preserve">En la actualidad, las organizaciones deben estar preparadas para los cambios tecnológicos que les presenta su entorno y anticiparse a estos cambios para ajustar su estrategia tecnológica, esto se logra a través de la prospectiva tecnológica. El presente trabajo tiene como objetivo analizar como la prospectiva tecnológica puede ser una capacidad dinámica de una organización, específicamente de un centro de investigación. Para la presente investigación se tomó como caso de estudio el área de electroquímica del Centro de Investigación y Desarrollo Tecnológico en Electroquímica (CIDETEQ). Se realizaron entrevistas semiestructuradas a los actores principales encargados de la prospectiva tecnológica. Se identificaron cinco características en común entre las capacidades dinámicas y la prospectiva tecnológica, estas características son: son una capacidad construida y no comprada, integran recursos, reconfiguran recursos, ganan recursos y permiten a las organizaciones adaptarse y crear cambios en el entorno. Se concluye que la prospectiva tecnológica es una capacidad dinámica construida capaz de integrar, reconfigurar y ganar recursos que permite adaptarse al entorno de una organización.   </w:t>
      </w:r>
    </w:p>
    <w:p w14:paraId="1DA46BCC" w14:textId="539B7C3F" w:rsidR="00E92483" w:rsidRPr="00F21071" w:rsidRDefault="00E92483" w:rsidP="00F21071">
      <w:pPr>
        <w:jc w:val="both"/>
        <w:rPr>
          <w:i/>
          <w:szCs w:val="20"/>
        </w:rPr>
      </w:pPr>
      <w:r w:rsidRPr="00F21071">
        <w:rPr>
          <w:i/>
          <w:szCs w:val="20"/>
        </w:rPr>
        <w:t xml:space="preserve"> </w:t>
      </w:r>
    </w:p>
    <w:p w14:paraId="682629CB" w14:textId="586EB491" w:rsidR="005647CA" w:rsidRPr="005647CA" w:rsidRDefault="00E20E7A" w:rsidP="005647CA">
      <w:pPr>
        <w:rPr>
          <w:i/>
          <w:szCs w:val="20"/>
        </w:rPr>
      </w:pPr>
      <w:r w:rsidRPr="00F21071">
        <w:rPr>
          <w:b/>
          <w:i/>
          <w:szCs w:val="20"/>
        </w:rPr>
        <w:t>Palabras clave:</w:t>
      </w:r>
      <w:r w:rsidRPr="00F21071">
        <w:rPr>
          <w:i/>
          <w:szCs w:val="20"/>
        </w:rPr>
        <w:t xml:space="preserve"> </w:t>
      </w:r>
      <w:r w:rsidR="005647CA" w:rsidRPr="005647CA">
        <w:rPr>
          <w:i/>
          <w:szCs w:val="20"/>
        </w:rPr>
        <w:t xml:space="preserve">Capacidades dinámicas, Centros de investigación, Prospectiva tecnológica </w:t>
      </w:r>
    </w:p>
    <w:p w14:paraId="37116036" w14:textId="4D8E5380" w:rsidR="00F52788" w:rsidRDefault="00F52788" w:rsidP="005647CA">
      <w:pPr>
        <w:rPr>
          <w:rFonts w:ascii="Arial" w:hAnsi="Arial" w:cs="Arial"/>
          <w:color w:val="244061"/>
          <w:sz w:val="20"/>
          <w:szCs w:val="20"/>
        </w:rPr>
      </w:pPr>
    </w:p>
    <w:p w14:paraId="653ECDEF" w14:textId="77777777" w:rsidR="00D35C7F" w:rsidRPr="009324E7" w:rsidRDefault="00360D01" w:rsidP="00264F2B">
      <w:pPr>
        <w:spacing w:line="360" w:lineRule="auto"/>
        <w:rPr>
          <w:b/>
          <w:color w:val="244061"/>
          <w:sz w:val="28"/>
        </w:rPr>
      </w:pPr>
      <w:r w:rsidRPr="009324E7">
        <w:rPr>
          <w:b/>
          <w:color w:val="244061"/>
          <w:sz w:val="28"/>
        </w:rPr>
        <w:t>1. Introducción</w:t>
      </w:r>
    </w:p>
    <w:p w14:paraId="297BC941" w14:textId="77777777" w:rsidR="005647CA" w:rsidRPr="005647CA" w:rsidRDefault="005647CA" w:rsidP="005647CA">
      <w:pPr>
        <w:spacing w:line="360" w:lineRule="auto"/>
        <w:jc w:val="both"/>
        <w:rPr>
          <w:szCs w:val="20"/>
          <w:lang w:val="es-ES_tradnl"/>
        </w:rPr>
      </w:pPr>
      <w:r w:rsidRPr="005647CA">
        <w:rPr>
          <w:szCs w:val="20"/>
          <w:lang w:val="es-ES_tradnl"/>
        </w:rPr>
        <w:t xml:space="preserve">Las organizaciones se encuentran dentro de un entorno dinámico donde los altos niveles de competencia, el constante cambio de la demanda así como la obsolescencia de las tecnologías, suceden rápidamente, provocando de ésta manera que la información al alcance de las organizaciones no siempre sea exacta, certera e incluso, en muchos casos, no se encuentra disponible </w:t>
      </w:r>
      <w:r w:rsidRPr="005647CA">
        <w:rPr>
          <w:szCs w:val="20"/>
          <w:lang w:val="es-ES_tradnl"/>
        </w:rPr>
        <w:fldChar w:fldCharType="begin"/>
      </w:r>
      <w:r w:rsidRPr="005647CA">
        <w:rPr>
          <w:szCs w:val="20"/>
          <w:lang w:val="es-ES_tradnl"/>
        </w:rPr>
        <w:instrText xml:space="preserve"> ADDIN EN.CITE &lt;EndNote&gt;&lt;Cite&gt;&lt;Author&gt;Eisenhardt&lt;/Author&gt;&lt;Year&gt;1989&lt;/Year&gt;&lt;RecNum&gt;48&lt;/RecNum&gt;&lt;DisplayText&gt;(Eisenhardt, 1989)&lt;/DisplayText&gt;&lt;record&gt;&lt;rec-number&gt;48&lt;/rec-number&gt;&lt;foreign-keys&gt;&lt;key app="EN" db-id="xzeaxr220pp5w7eap54pxr5dazzat5fe2xae" timestamp="1523592501"&gt;48&lt;/key&gt;&lt;/foreign-keys&gt;&lt;ref-type name="Book"&gt;6&lt;/ref-type&gt;&lt;contributors&gt;&lt;authors&gt;&lt;author&gt;Eisenhardt, Kathleen M.&lt;/author&gt;&lt;/authors&gt;&lt;/contributors&gt;&lt;titles&gt;&lt;title&gt;Making Fast Decisions in High-Velocity Environments&lt;/title&gt;&lt;/titles&gt;&lt;volume&gt;32&lt;/volume&gt;&lt;dates&gt;&lt;year&gt;1989&lt;/year&gt;&lt;/dates&gt;&lt;urls&gt;&lt;/urls&gt;&lt;electronic-resource-num&gt;10.2307/256434&lt;/electronic-resource-num&gt;&lt;/record&gt;&lt;/Cite&gt;&lt;/EndNote&gt;</w:instrText>
      </w:r>
      <w:r w:rsidRPr="005647CA">
        <w:rPr>
          <w:szCs w:val="20"/>
          <w:lang w:val="es-ES_tradnl"/>
        </w:rPr>
        <w:fldChar w:fldCharType="separate"/>
      </w:r>
      <w:r w:rsidRPr="005647CA">
        <w:rPr>
          <w:szCs w:val="20"/>
          <w:lang w:val="es-ES_tradnl"/>
        </w:rPr>
        <w:t>(Eisenhardt, 1989)</w:t>
      </w:r>
      <w:r w:rsidRPr="005647CA">
        <w:rPr>
          <w:szCs w:val="20"/>
        </w:rPr>
        <w:fldChar w:fldCharType="end"/>
      </w:r>
      <w:r w:rsidRPr="005647CA">
        <w:rPr>
          <w:szCs w:val="20"/>
          <w:lang w:val="es-ES_tradnl"/>
        </w:rPr>
        <w:t xml:space="preserve">. Actualmente, este cambio se presenta en ciclos, donde las organizaciones experimentan periodos largos en los cuales el cambio organizacional es pausado e incremental; sin embargo, cada cierto tiempo el entorno se transforma de manera abrupta, por lo que las organizaciones deben implementar cambios radicales de manera constante </w:t>
      </w:r>
      <w:r w:rsidRPr="005647CA">
        <w:rPr>
          <w:szCs w:val="20"/>
          <w:lang w:val="es-ES_tradnl"/>
        </w:rPr>
        <w:fldChar w:fldCharType="begin">
          <w:fldData xml:space="preserve">PEVuZE5vdGU+PENpdGU+PEF1dGhvcj5BbWlzPC9BdXRob3I+PFllYXI+MjAxODwvWWVhcj48UmVj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</w:fldData>
        </w:fldChar>
      </w:r>
      <w:r w:rsidRPr="005647CA">
        <w:rPr>
          <w:szCs w:val="20"/>
          <w:lang w:val="es-ES_tradnl"/>
        </w:rPr>
        <w:instrText xml:space="preserve"> ADDIN EN.CITE </w:instrText>
      </w:r>
      <w:r w:rsidRPr="005647CA">
        <w:rPr>
          <w:szCs w:val="20"/>
          <w:lang w:val="es-ES_tradnl"/>
        </w:rPr>
        <w:fldChar w:fldCharType="begin">
          <w:fldData xml:space="preserve">PEVuZE5vdGU+PENpdGU+PEF1dGhvcj5BbWlzPC9BdXRob3I+PFllYXI+MjAxODwvWWVhcj48UmVj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</w:fldData>
        </w:fldChar>
      </w:r>
      <w:r w:rsidRPr="005647CA">
        <w:rPr>
          <w:szCs w:val="20"/>
          <w:lang w:val="es-ES_tradnl"/>
        </w:rPr>
        <w:instrText xml:space="preserve"> ADDIN EN.CITE.DATA </w:instrText>
      </w:r>
      <w:r w:rsidRPr="005647CA">
        <w:rPr>
          <w:szCs w:val="20"/>
        </w:rPr>
      </w:r>
      <w:r w:rsidRPr="005647CA">
        <w:rPr>
          <w:szCs w:val="20"/>
        </w:rPr>
        <w:fldChar w:fldCharType="end"/>
      </w:r>
      <w:r w:rsidRPr="005647CA">
        <w:rPr>
          <w:szCs w:val="20"/>
          <w:lang w:val="es-ES_tradnl"/>
        </w:rPr>
      </w:r>
      <w:r w:rsidRPr="005647CA">
        <w:rPr>
          <w:szCs w:val="20"/>
          <w:lang w:val="es-ES_tradnl"/>
        </w:rPr>
        <w:fldChar w:fldCharType="separate"/>
      </w:r>
      <w:r w:rsidRPr="005647CA">
        <w:rPr>
          <w:szCs w:val="20"/>
          <w:lang w:val="es-ES_tradnl"/>
        </w:rPr>
        <w:t>(Amis, 2018; Ericsson, 2020)</w:t>
      </w:r>
      <w:r w:rsidRPr="005647CA">
        <w:rPr>
          <w:szCs w:val="20"/>
        </w:rPr>
        <w:fldChar w:fldCharType="end"/>
      </w:r>
      <w:r w:rsidRPr="005647CA">
        <w:rPr>
          <w:szCs w:val="20"/>
          <w:lang w:val="es-ES_tradnl"/>
        </w:rPr>
        <w:t xml:space="preserve">. Existen diversos </w:t>
      </w:r>
      <w:r w:rsidRPr="005647CA">
        <w:rPr>
          <w:szCs w:val="20"/>
          <w:lang w:val="es-ES_tradnl"/>
        </w:rPr>
        <w:lastRenderedPageBreak/>
        <w:t xml:space="preserve">enfoques estratégicos que afirman que la toma de decisiones dentro de estos contextos se ve alterada por: 1) el largo proceso de recolección de datos así como por el afán de comprender en su totalidad la información obtenida; o su contraparte, el considerar pocas alternativas y obtener información de pocas fuentes. 2) La participación limitada y el poder centralizado de la administración y 3) el conflicto entre los administradores de la organización, creando interrupción en el proceso de toma de decisiones. Por lo tanto, es trascendental que las organizaciones cuenten con rutinas confiables, que busque entender las problemáticas particulares de cada organización planteado las diferentes alternativas y anticipando sus consecuencias </w:t>
      </w:r>
      <w:r w:rsidRPr="005647CA">
        <w:rPr>
          <w:szCs w:val="20"/>
          <w:lang w:val="es-ES_tradnl"/>
        </w:rPr>
        <w:fldChar w:fldCharType="begin">
          <w:fldData xml:space="preserve">PEVuZE5vdGU+PENpdGU+PEF1dGhvcj5XZW56ZWw8L0F1dGhvcj48UmVjTnVtPjQyMTwvUmVjTnVt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==
</w:fldData>
        </w:fldChar>
      </w:r>
      <w:r w:rsidRPr="005647CA">
        <w:rPr>
          <w:szCs w:val="20"/>
          <w:lang w:val="es-ES_tradnl"/>
        </w:rPr>
        <w:instrText xml:space="preserve"> ADDIN EN.CITE </w:instrText>
      </w:r>
      <w:r w:rsidRPr="005647CA">
        <w:rPr>
          <w:szCs w:val="20"/>
          <w:lang w:val="es-ES_tradnl"/>
        </w:rPr>
        <w:fldChar w:fldCharType="begin">
          <w:fldData xml:space="preserve">PEVuZE5vdGU+PENpdGU+PEF1dGhvcj5XZW56ZWw8L0F1dGhvcj48UmVjTnVtPjQyMTwvUmVjTnVt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==
</w:fldData>
        </w:fldChar>
      </w:r>
      <w:r w:rsidRPr="005647CA">
        <w:rPr>
          <w:szCs w:val="20"/>
          <w:lang w:val="es-ES_tradnl"/>
        </w:rPr>
        <w:instrText xml:space="preserve"> ADDIN EN.CITE.DATA </w:instrText>
      </w:r>
      <w:r w:rsidRPr="005647CA">
        <w:rPr>
          <w:szCs w:val="20"/>
        </w:rPr>
      </w:r>
      <w:r w:rsidRPr="005647CA">
        <w:rPr>
          <w:szCs w:val="20"/>
        </w:rPr>
        <w:fldChar w:fldCharType="end"/>
      </w:r>
      <w:r w:rsidRPr="005647CA">
        <w:rPr>
          <w:szCs w:val="20"/>
          <w:lang w:val="es-ES_tradnl"/>
        </w:rPr>
      </w:r>
      <w:r w:rsidRPr="005647CA">
        <w:rPr>
          <w:szCs w:val="20"/>
          <w:lang w:val="es-ES_tradnl"/>
        </w:rPr>
        <w:fldChar w:fldCharType="separate"/>
      </w:r>
      <w:r w:rsidRPr="005647CA">
        <w:rPr>
          <w:szCs w:val="20"/>
          <w:lang w:val="es-ES_tradnl"/>
        </w:rPr>
        <w:t>(Wenzel, Danner-Schröder, &amp; Spee, 2020)</w:t>
      </w:r>
      <w:r w:rsidRPr="005647CA">
        <w:rPr>
          <w:szCs w:val="20"/>
        </w:rPr>
        <w:fldChar w:fldCharType="end"/>
      </w:r>
      <w:r w:rsidRPr="005647CA">
        <w:rPr>
          <w:szCs w:val="20"/>
          <w:lang w:val="es-ES_tradnl"/>
        </w:rPr>
        <w:t xml:space="preserve">. </w:t>
      </w:r>
    </w:p>
    <w:p w14:paraId="2BAD7304" w14:textId="585A3AB1" w:rsidR="005647CA" w:rsidRDefault="005647CA" w:rsidP="00791128">
      <w:pPr>
        <w:spacing w:line="360" w:lineRule="auto"/>
        <w:ind w:firstLine="708"/>
        <w:jc w:val="both"/>
        <w:rPr>
          <w:szCs w:val="20"/>
          <w:lang w:val="es-ES_tradnl"/>
        </w:rPr>
      </w:pPr>
      <w:r w:rsidRPr="005647CA">
        <w:rPr>
          <w:szCs w:val="20"/>
          <w:lang w:val="es-ES_tradnl"/>
        </w:rPr>
        <w:t xml:space="preserve">Cómo respuesta a la necesidad constante de adaptación a los entornos dinámicos, la anticipación a necesidades futuras del mercado, desarrollo tecnológico como tendencias, que permita ayudar a la sobrevivencia de las empresas a largo plazo como su éxito económico, surge la prospectiva tecnológica </w:t>
      </w:r>
      <w:r w:rsidRPr="005647CA">
        <w:rPr>
          <w:szCs w:val="20"/>
          <w:lang w:val="es-ES_tradnl"/>
        </w:rPr>
        <w:fldChar w:fldCharType="begin"/>
      </w:r>
      <w:r w:rsidRPr="005647CA">
        <w:rPr>
          <w:szCs w:val="20"/>
          <w:lang w:val="es-ES_tradnl"/>
        </w:rPr>
        <w:instrText xml:space="preserve"> ADDIN EN.CITE &lt;EndNote&gt;&lt;Cite&gt;&lt;Author&gt;Reger&lt;/Author&gt;&lt;Year&gt;2001&lt;/Year&gt;&lt;RecNum&gt;50&lt;/RecNum&gt;&lt;DisplayText&gt;(Reger, 2001)&lt;/DisplayText&gt;&lt;record&gt;&lt;rec-number&gt;50&lt;/rec-number&gt;&lt;foreign-keys&gt;&lt;key app="EN" db-id="xzeaxr220pp5w7eap54pxr5dazzat5fe2xae" timestamp="1523592501"&gt;50&lt;/key&gt;&lt;key app="ENWeb" db-id=""&gt;0&lt;/key&gt;&lt;/foreign-keys&gt;&lt;ref-type name="Journal Article"&gt;17&lt;/ref-type&gt;&lt;contributors&gt;&lt;authors&gt;&lt;author&gt;Guido Reger&lt;/author&gt;&lt;/authors&gt;&lt;/contributors&gt;&lt;titles&gt;&lt;title&gt;Technology Foresight in Companies: From an Indicator to a Network and Process Perspective&lt;/title&gt;&lt;secondary-title&gt;Technology Analysis &amp;amp; Strategic Management&lt;/secondary-title&gt;&lt;/titles&gt;&lt;periodical&gt;&lt;full-title&gt;Technology Analysis &amp;amp; Strategic Management&lt;/full-title&gt;&lt;/periodical&gt;&lt;pages&gt;533-553&lt;/pages&gt;&lt;volume&gt;13&lt;/volume&gt;&lt;number&gt;4&lt;/number&gt;&lt;keywords&gt;&lt;keyword&gt;Technology Foresight&lt;/keyword&gt;&lt;/keywords&gt;&lt;dates&gt;&lt;year&gt;2001&lt;/year&gt;&lt;/dates&gt;&lt;urls&gt;&lt;/urls&gt;&lt;electronic-resource-num&gt;10.1080/09537320127286&lt;/electronic-resource-num&gt;&lt;/record&gt;&lt;/Cite&gt;&lt;/EndNote&gt;</w:instrText>
      </w:r>
      <w:r w:rsidRPr="005647CA">
        <w:rPr>
          <w:szCs w:val="20"/>
          <w:lang w:val="es-ES_tradnl"/>
        </w:rPr>
        <w:fldChar w:fldCharType="separate"/>
      </w:r>
      <w:r w:rsidRPr="005647CA">
        <w:rPr>
          <w:szCs w:val="20"/>
          <w:lang w:val="es-ES_tradnl"/>
        </w:rPr>
        <w:t>(Reger, 2001)</w:t>
      </w:r>
      <w:r w:rsidRPr="005647CA">
        <w:rPr>
          <w:szCs w:val="20"/>
        </w:rPr>
        <w:fldChar w:fldCharType="end"/>
      </w:r>
      <w:r w:rsidRPr="005647CA">
        <w:rPr>
          <w:szCs w:val="20"/>
          <w:lang w:val="es-ES_tradnl"/>
        </w:rPr>
        <w:t xml:space="preserve">. De acuerdo al nivel de cambio que enfrente la organización, puede ser definida como un proceso o una capacidad </w:t>
      </w:r>
      <w:r w:rsidRPr="005647CA">
        <w:rPr>
          <w:szCs w:val="20"/>
          <w:lang w:val="es-ES_tradnl"/>
        </w:rPr>
        <w:fldChar w:fldCharType="begin"/>
      </w:r>
      <w:r w:rsidRPr="005647CA">
        <w:rPr>
          <w:szCs w:val="20"/>
          <w:lang w:val="es-ES_tradnl"/>
        </w:rPr>
        <w:instrText xml:space="preserve"> ADDIN EN.CITE &lt;EndNote&gt;&lt;Cite&gt;&lt;Author&gt;Rohrbeck&lt;/Author&gt;&lt;Year&gt;2010&lt;/Year&gt;&lt;RecNum&gt;51&lt;/RecNum&gt;&lt;DisplayText&gt;(Rohrbeck, 2010)&lt;/DisplayText&gt;&lt;record&gt;&lt;rec-number&gt;51&lt;/rec-number&gt;&lt;foreign-keys&gt;&lt;key app="EN" db-id="xzeaxr220pp5w7eap54pxr5dazzat5fe2xae" timestamp="1523592504"&gt;51&lt;/key&gt;&lt;key app="ENWeb" db-id=""&gt;0&lt;/key&gt;&lt;/foreign-keys&gt;&lt;ref-type name="Book"&gt;6&lt;/ref-type&gt;&lt;contributors&gt;&lt;authors&gt;&lt;author&gt;René Rohrbeck &lt;/author&gt;&lt;/authors&gt;&lt;/contributors&gt;&lt;titles&gt;&lt;title&gt;Corporate Foresight: Towards a Maturity Model for the Future Orientation of a Firm&lt;/title&gt;&lt;/titles&gt;&lt;section&gt;240&lt;/section&gt;&lt;keywords&gt;&lt;keyword&gt;Foresigth&lt;/keyword&gt;&lt;/keywords&gt;&lt;dates&gt;&lt;year&gt;2010&lt;/year&gt;&lt;/dates&gt;&lt;pub-location&gt;Berlín&lt;/pub-location&gt;&lt;publisher&gt;Springer-Verlag&lt;/publisher&gt;&lt;isbn&gt;978-3-7908-2625-8&lt;/isbn&gt;&lt;urls&gt;&lt;/urls&gt;&lt;electronic-resource-num&gt;10.1007/978-3-7908-2626-5&lt;/electronic-resource-num&gt;&lt;/record&gt;&lt;/Cite&gt;&lt;/EndNote&gt;</w:instrText>
      </w:r>
      <w:r w:rsidRPr="005647CA">
        <w:rPr>
          <w:szCs w:val="20"/>
          <w:lang w:val="es-ES_tradnl"/>
        </w:rPr>
        <w:fldChar w:fldCharType="separate"/>
      </w:r>
      <w:r w:rsidRPr="005647CA">
        <w:rPr>
          <w:szCs w:val="20"/>
          <w:lang w:val="es-ES_tradnl"/>
        </w:rPr>
        <w:t>(Rohrbeck, 2010)</w:t>
      </w:r>
      <w:r w:rsidRPr="005647CA">
        <w:rPr>
          <w:szCs w:val="20"/>
        </w:rPr>
        <w:fldChar w:fldCharType="end"/>
      </w:r>
      <w:r w:rsidRPr="005647CA">
        <w:rPr>
          <w:szCs w:val="20"/>
          <w:lang w:val="es-ES_tradnl"/>
        </w:rPr>
        <w:t>, motivo por el cuál dentro de la literatura no existe un consenso de una definición o concepto único. No obstante, cabe destacar que ésta amplia variedad de términos incluye diferentes actividades dentro de la empresa, de acuerdo al enfoque de estudio.</w:t>
      </w:r>
    </w:p>
    <w:p w14:paraId="38222430" w14:textId="54B1C9A9" w:rsidR="005647CA" w:rsidRPr="005647CA" w:rsidRDefault="00791128" w:rsidP="005647CA">
      <w:pPr>
        <w:spacing w:line="360" w:lineRule="auto"/>
        <w:jc w:val="both"/>
        <w:rPr>
          <w:szCs w:val="20"/>
          <w:lang w:val="es-ES_tradnl"/>
        </w:rPr>
      </w:pPr>
      <w:r>
        <w:rPr>
          <w:szCs w:val="20"/>
          <w:lang w:val="es-ES_tradnl"/>
        </w:rPr>
        <w:tab/>
      </w:r>
      <w:r w:rsidR="005647CA" w:rsidRPr="005647CA">
        <w:rPr>
          <w:szCs w:val="20"/>
          <w:lang w:val="es-ES_tradnl"/>
        </w:rPr>
        <w:fldChar w:fldCharType="begin"/>
      </w:r>
      <w:r w:rsidR="005647CA" w:rsidRPr="005647CA">
        <w:rPr>
          <w:szCs w:val="20"/>
          <w:lang w:val="es-ES_tradnl"/>
        </w:rPr>
        <w:instrText xml:space="preserve"> ADDIN EN.CITE &lt;EndNote&gt;&lt;Cite AuthorYear="1"&gt;&lt;Author&gt;Reger&lt;/Author&gt;&lt;Year&gt;2001&lt;/Year&gt;&lt;RecNum&gt;50&lt;/RecNum&gt;&lt;DisplayText&gt;Reger (2001)&lt;/DisplayText&gt;&lt;record&gt;&lt;rec-number&gt;50&lt;/rec-number&gt;&lt;foreign-keys&gt;&lt;key app="EN" db-id="xzeaxr220pp5w7eap54pxr5dazzat5fe2xae" timestamp="1523592501"&gt;50&lt;/key&gt;&lt;key app="ENWeb" db-id=""&gt;0&lt;/key&gt;&lt;/foreign-keys&gt;&lt;ref-type name="Journal Article"&gt;17&lt;/ref-type&gt;&lt;contributors&gt;&lt;authors&gt;&lt;author&gt;Guido Reger&lt;/author&gt;&lt;/authors&gt;&lt;/contributors&gt;&lt;titles&gt;&lt;title&gt;Technology Foresight in Companies: From an Indicator to a Network and Process Perspective&lt;/title&gt;&lt;secondary-title&gt;Technology Analysis &amp;amp; Strategic Management&lt;/secondary-title&gt;&lt;/titles&gt;&lt;periodical&gt;&lt;full-title&gt;Technology Analysis &amp;amp; Strategic Management&lt;/full-title&gt;&lt;/periodical&gt;&lt;pages&gt;533-553&lt;/pages&gt;&lt;volume&gt;13&lt;/volume&gt;&lt;number&gt;4&lt;/number&gt;&lt;keywords&gt;&lt;keyword&gt;Technology Foresight&lt;/keyword&gt;&lt;/keywords&gt;&lt;dates&gt;&lt;year&gt;2001&lt;/year&gt;&lt;/dates&gt;&lt;urls&gt;&lt;/urls&gt;&lt;electronic-resource-num&gt;10.1080/09537320127286&lt;/electronic-resource-num&gt;&lt;/record&gt;&lt;/Cite&gt;&lt;/EndNote&gt;</w:instrText>
      </w:r>
      <w:r w:rsidR="005647CA" w:rsidRPr="005647CA">
        <w:rPr>
          <w:szCs w:val="20"/>
          <w:lang w:val="es-ES_tradnl"/>
        </w:rPr>
        <w:fldChar w:fldCharType="separate"/>
      </w:r>
      <w:r w:rsidR="005647CA" w:rsidRPr="005647CA">
        <w:rPr>
          <w:szCs w:val="20"/>
          <w:lang w:val="es-ES_tradnl"/>
        </w:rPr>
        <w:t>Reger (2001)</w:t>
      </w:r>
      <w:r w:rsidR="005647CA" w:rsidRPr="005647CA">
        <w:rPr>
          <w:szCs w:val="20"/>
        </w:rPr>
        <w:fldChar w:fldCharType="end"/>
      </w:r>
      <w:r w:rsidR="005647CA" w:rsidRPr="005647CA">
        <w:rPr>
          <w:szCs w:val="20"/>
          <w:lang w:val="es-ES_tradnl"/>
        </w:rPr>
        <w:t xml:space="preserve"> define la prospectiva tecnológica como la exploración sistemática y la observación de las nuevas tecnologías o las tecnologías existentes, la evaluación de su potencial y su importancia para la competitividad de la empresa así como el almacenamiento y la difusión de la información, incluyendo análisis, búsqueda, monitoreo y pronóstico de la tecnología. El enfoque que utiliza es de un proceso que va desde el monitoreo tecnológico, la vigilancia tecnológica, la previsión tecnológica, la exploración tecnológica y la evaluación de la tecnología, entre otras.</w:t>
      </w:r>
    </w:p>
    <w:p w14:paraId="0D41E514" w14:textId="5B531152" w:rsidR="005647CA" w:rsidRPr="005647CA" w:rsidRDefault="005647CA" w:rsidP="005647CA">
      <w:pPr>
        <w:spacing w:line="360" w:lineRule="auto"/>
        <w:jc w:val="both"/>
        <w:rPr>
          <w:szCs w:val="20"/>
          <w:lang w:val="es-ES_tradnl"/>
        </w:rPr>
      </w:pPr>
      <w:r w:rsidRPr="005647CA">
        <w:rPr>
          <w:szCs w:val="20"/>
          <w:lang w:val="es-ES_tradnl"/>
        </w:rPr>
        <w:t xml:space="preserve"> </w:t>
      </w:r>
      <w:r w:rsidR="00791128">
        <w:rPr>
          <w:szCs w:val="20"/>
          <w:lang w:val="es-ES_tradnl"/>
        </w:rPr>
        <w:tab/>
      </w:r>
      <w:r w:rsidRPr="005647CA">
        <w:rPr>
          <w:szCs w:val="20"/>
          <w:lang w:val="es-ES_tradnl"/>
        </w:rPr>
        <w:t xml:space="preserve">Específicamente, prospectiva facilita las capacidades cognitivas de la organización para detectar las oportunidades emergentes y los riesgos y permiten a la empresa aprender sobre su entorno cambiante </w:t>
      </w:r>
      <w:r w:rsidRPr="005647CA">
        <w:rPr>
          <w:szCs w:val="20"/>
          <w:lang w:val="es-ES_tradnl"/>
        </w:rPr>
        <w:fldChar w:fldCharType="begin"/>
      </w:r>
      <w:r w:rsidRPr="005647CA">
        <w:rPr>
          <w:szCs w:val="20"/>
          <w:lang w:val="es-ES_tradnl"/>
        </w:rPr>
        <w:instrText xml:space="preserve"> ADDIN EN.CITE &lt;EndNote&gt;&lt;Cite&gt;&lt;Author&gt;Rhisiart&lt;/Author&gt;&lt;Year&gt;2015&lt;/Year&gt;&lt;RecNum&gt;437&lt;/RecNum&gt;&lt;DisplayText&gt;(Rhisiart, Miller, &amp;amp; Brooks, 2015)&lt;/DisplayText&gt;&lt;record&gt;&lt;rec-number&gt;437&lt;/rec-number&gt;&lt;foreign-keys&gt;&lt;key app="EN" db-id="xzeaxr220pp5w7eap54pxr5dazzat5fe2xae" timestamp="1627406769"&gt;437&lt;/key&gt;&lt;/foreign-keys&gt;&lt;ref-type name="Journal Article"&gt;17&lt;/ref-type&gt;&lt;contributors&gt;&lt;authors&gt;&lt;author&gt;Rhisiart, Martin&lt;/author&gt;&lt;author&gt;Miller, Riel&lt;/author&gt;&lt;author&gt;Brooks, Simon&lt;/author&gt;&lt;/authors&gt;&lt;/contributors&gt;&lt;titles&gt;&lt;title&gt;Learning to use the future: developing foresight capabilities through scenario processes&lt;/title&gt;&lt;secondary-title&gt;Technological Forecasting and Social Change&lt;/secondary-title&gt;&lt;/titles&gt;&lt;periodical&gt;&lt;full-title&gt;Technological Forecasting and Social Change&lt;/full-title&gt;&lt;/periodical&gt;&lt;pages&gt;124-133&lt;/pages&gt;&lt;volume&gt;101&lt;/volume&gt;&lt;keywords&gt;&lt;keyword&gt;Scenarios&lt;/keyword&gt;&lt;keyword&gt;Strategic foresight&lt;/keyword&gt;&lt;keyword&gt;Learning&lt;/keyword&gt;&lt;/keywords&gt;&lt;dates&gt;&lt;year&gt;2015&lt;/year&gt;&lt;pub-dates&gt;&lt;date&gt;2015/12/01/&lt;/date&gt;&lt;/pub-dates&gt;&lt;/dates&gt;&lt;isbn&gt;0040-1625&lt;/isbn&gt;&lt;urls&gt;&lt;related-urls&gt;&lt;url&gt;https://www.sciencedirect.com/science/article/pii/S0040162514003011&lt;/url&gt;&lt;/related-urls&gt;&lt;/urls&gt;&lt;electronic-resource-num&gt;https://doi.org/10.1016/j.techfore.2014.10.015&lt;/electronic-resource-num&gt;&lt;/record&gt;&lt;/Cite&gt;&lt;/EndNote&gt;</w:instrText>
      </w:r>
      <w:r w:rsidRPr="005647CA">
        <w:rPr>
          <w:szCs w:val="20"/>
          <w:lang w:val="es-ES_tradnl"/>
        </w:rPr>
        <w:fldChar w:fldCharType="separate"/>
      </w:r>
      <w:r w:rsidRPr="005647CA">
        <w:rPr>
          <w:szCs w:val="20"/>
          <w:lang w:val="es-ES_tradnl"/>
        </w:rPr>
        <w:t>(Rhisiart, Miller, &amp; Brooks, 2015)</w:t>
      </w:r>
      <w:r w:rsidRPr="005647CA">
        <w:rPr>
          <w:szCs w:val="20"/>
        </w:rPr>
        <w:fldChar w:fldCharType="end"/>
      </w:r>
      <w:r w:rsidRPr="005647CA">
        <w:rPr>
          <w:szCs w:val="20"/>
          <w:lang w:val="es-ES_tradnl"/>
        </w:rPr>
        <w:t xml:space="preserve">. Por lo tanto, se argumenta que las técnicas y prácticas de prospectiva representan antecedentes importantes de capacidades dinámicas, ya que mejoran la flexibilidad organizacional y el aprendizaje cuando las empresas se enfrentan a la incertidumbre </w:t>
      </w:r>
      <w:r w:rsidRPr="005647CA">
        <w:rPr>
          <w:szCs w:val="20"/>
          <w:lang w:val="es-ES_tradnl"/>
        </w:rPr>
        <w:fldChar w:fldCharType="begin"/>
      </w:r>
      <w:r w:rsidRPr="005647CA">
        <w:rPr>
          <w:szCs w:val="20"/>
          <w:lang w:val="es-ES_tradnl"/>
        </w:rPr>
        <w:instrText xml:space="preserve"> ADDIN EN.CITE &lt;EndNote&gt;&lt;Cite&gt;&lt;Author&gt;Vecchiato&lt;/Author&gt;&lt;Year&gt;2015&lt;/Year&gt;&lt;RecNum&gt;438&lt;/RecNum&gt;&lt;DisplayText&gt;(Vecchiato, 2015)&lt;/DisplayText&gt;&lt;record&gt;&lt;rec-number&gt;438&lt;/rec-number&gt;&lt;foreign-keys&gt;&lt;key app="EN" db-id="xzeaxr220pp5w7eap54pxr5dazzat5fe2xae" timestamp="1627406941"&gt;438&lt;/key&gt;&lt;/foreign-keys&gt;&lt;ref-type name="Journal Article"&gt;17&lt;/ref-type&gt;&lt;contributors&gt;&lt;authors&gt;&lt;author&gt;Vecchiato, Riccardo&lt;/author&gt;&lt;/authors&gt;&lt;/contributors&gt;&lt;titles&gt;&lt;title&gt;Creating value through foresight: First mover advantages and strategic agility&lt;/title&gt;&lt;secondary-title&gt;Technological Forecasting and Social Change&lt;/secondary-title&gt;&lt;/titles&gt;&lt;periodical&gt;&lt;full-title&gt;Technological Forecasting and Social Change&lt;/full-title&gt;&lt;/periodical&gt;&lt;pages&gt;25-36&lt;/pages&gt;&lt;volume&gt;101&lt;/volume&gt;&lt;keywords&gt;&lt;keyword&gt;Environmental uncertainty&lt;/keyword&gt;&lt;keyword&gt;Corporate foresight&lt;/keyword&gt;&lt;keyword&gt;Adaptation&lt;/keyword&gt;&lt;keyword&gt;Inertia&lt;/keyword&gt;&lt;keyword&gt;Competitive advantage&lt;/keyword&gt;&lt;/keywords&gt;&lt;dates&gt;&lt;year&gt;2015&lt;/year&gt;&lt;pub-dates&gt;&lt;date&gt;2015/12/01/&lt;/date&gt;&lt;/pub-dates&gt;&lt;/dates&gt;&lt;isbn&gt;0040-1625&lt;/isbn&gt;&lt;urls&gt;&lt;related-urls&gt;&lt;url&gt;https://www.sciencedirect.com/science/article/pii/S0040162514002558&lt;/url&gt;&lt;/related-urls&gt;&lt;/urls&gt;&lt;electronic-resource-num&gt;https://doi.org/10.1016/j.techfore.2014.08.016&lt;/electronic-resource-num&gt;&lt;/record&gt;&lt;/Cite&gt;&lt;/EndNote&gt;</w:instrText>
      </w:r>
      <w:r w:rsidRPr="005647CA">
        <w:rPr>
          <w:szCs w:val="20"/>
          <w:lang w:val="es-ES_tradnl"/>
        </w:rPr>
        <w:fldChar w:fldCharType="separate"/>
      </w:r>
      <w:r w:rsidRPr="005647CA">
        <w:rPr>
          <w:szCs w:val="20"/>
          <w:lang w:val="es-ES_tradnl"/>
        </w:rPr>
        <w:t>(Vecchiato, 2015)</w:t>
      </w:r>
      <w:r w:rsidRPr="005647CA">
        <w:rPr>
          <w:szCs w:val="20"/>
        </w:rPr>
        <w:fldChar w:fldCharType="end"/>
      </w:r>
      <w:r w:rsidRPr="005647CA">
        <w:rPr>
          <w:szCs w:val="20"/>
          <w:lang w:val="es-ES_tradnl"/>
        </w:rPr>
        <w:t>.</w:t>
      </w:r>
    </w:p>
    <w:p w14:paraId="33FDE70A" w14:textId="77777777" w:rsidR="005647CA" w:rsidRPr="005647CA" w:rsidRDefault="005647CA" w:rsidP="005647CA">
      <w:pPr>
        <w:spacing w:line="360" w:lineRule="auto"/>
        <w:jc w:val="both"/>
        <w:rPr>
          <w:szCs w:val="20"/>
          <w:lang w:val="es-ES_tradnl"/>
        </w:rPr>
      </w:pPr>
    </w:p>
    <w:p w14:paraId="2E953C02" w14:textId="77777777" w:rsidR="005647CA" w:rsidRPr="005647CA" w:rsidRDefault="005647CA" w:rsidP="005647CA">
      <w:pPr>
        <w:spacing w:line="360" w:lineRule="auto"/>
        <w:jc w:val="both"/>
        <w:rPr>
          <w:szCs w:val="20"/>
          <w:lang w:val="es-MX"/>
        </w:rPr>
      </w:pPr>
      <w:r w:rsidRPr="005647CA">
        <w:rPr>
          <w:szCs w:val="20"/>
          <w:lang w:val="es-ES_tradnl"/>
        </w:rPr>
        <w:t xml:space="preserve">Aunque la influencia de la prospectiva tecnológica en las capacidades dinámicas de las organizaciones ha sido reconocida por una gran cantidad de investigaciones, la evidencia empírica en los centros de investigación aún es limitada, ya que la literatura existente sobre la relación entre la prospectiva tecnológica y las capacidades dinámicas se basa principalmente en estudios de casos en empresas, por ejemplo: </w:t>
      </w:r>
      <w:r w:rsidRPr="005647CA">
        <w:rPr>
          <w:szCs w:val="20"/>
          <w:lang w:val="es-ES_tradnl"/>
        </w:rPr>
        <w:fldChar w:fldCharType="begin"/>
      </w:r>
      <w:r w:rsidRPr="005647CA">
        <w:rPr>
          <w:szCs w:val="20"/>
          <w:lang w:val="es-ES_tradnl"/>
        </w:rPr>
        <w:instrText xml:space="preserve"> ADDIN EN.CITE &lt;EndNote&gt;&lt;Cite AuthorYear="1"&gt;&lt;Author&gt;Major&lt;/Author&gt;&lt;Year&gt;2001&lt;/Year&gt;&lt;RecNum&gt;29&lt;/RecNum&gt;&lt;DisplayText&gt;Major, Asch, and Cordey-Hayes (2001)&lt;/DisplayText&gt;&lt;record&gt;&lt;rec-number&gt;29&lt;/rec-number&gt;&lt;foreign-keys&gt;&lt;key app="EN" db-id="xzeaxr220pp5w7eap54pxr5dazzat5fe2xae" timestamp="1523592402"&gt;29&lt;/key&gt;&lt;key app="ENWeb" db-id=""&gt;0&lt;/key&gt;&lt;/foreign-keys&gt;&lt;ref-type name="Journal Article"&gt;17&lt;/ref-type&gt;&lt;contributors&gt;&lt;authors&gt;&lt;author&gt;Edward Major&lt;/author&gt;&lt;author&gt;Asch, David&lt;/author&gt;&lt;author&gt;Cordey-Hayes, Martyn&lt;/author&gt;&lt;/authors&gt;&lt;/contributors&gt;&lt;titles&gt;&lt;title&gt;Foresight as a core competence&lt;/title&gt;&lt;secondary-title&gt;Futures&lt;/secondary-title&gt;&lt;/titles&gt;&lt;periodical&gt;&lt;full-title&gt;Futures&lt;/full-title&gt;&lt;/periodical&gt;&lt;pages&gt;91-107&lt;/pages&gt;&lt;volume&gt;33&lt;/volume&gt;&lt;number&gt;2&lt;/number&gt;&lt;keywords&gt;&lt;keyword&gt;Forecast&lt;/keyword&gt;&lt;keyword&gt;Foresigth&lt;/keyword&gt;&lt;keyword&gt;Core capabilities&lt;/keyword&gt;&lt;/keywords&gt;&lt;dates&gt;&lt;year&gt;2001&lt;/year&gt;&lt;/dates&gt;&lt;urls&gt;&lt;/urls&gt;&lt;electronic-resource-num&gt;10.1016/S0016-3287(00)00057-4&lt;/electronic-resource-num&gt;&lt;/record&gt;&lt;/Cite&gt;&lt;/EndNote&gt;</w:instrText>
      </w:r>
      <w:r w:rsidRPr="005647CA">
        <w:rPr>
          <w:szCs w:val="20"/>
          <w:lang w:val="es-ES_tradnl"/>
        </w:rPr>
        <w:fldChar w:fldCharType="separate"/>
      </w:r>
      <w:r w:rsidRPr="005647CA">
        <w:rPr>
          <w:szCs w:val="20"/>
          <w:lang w:val="es-ES_tradnl"/>
        </w:rPr>
        <w:t>Major, Asch, and Cordey-Hayes (2001)</w:t>
      </w:r>
      <w:r w:rsidRPr="005647CA">
        <w:rPr>
          <w:szCs w:val="20"/>
        </w:rPr>
        <w:fldChar w:fldCharType="end"/>
      </w:r>
      <w:r w:rsidRPr="005647CA">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 AuthorYear="1"&gt;&lt;Author&gt;Ramírez&lt;/Author&gt;&lt;Year&gt;2013&lt;/Year&gt;&lt;RecNum&gt;439&lt;/RecNum&gt;&lt;DisplayText&gt;Ramírez, Österman, and Grönquist (2013)&lt;/DisplayText&gt;&lt;record&gt;&lt;rec-number&gt;439&lt;/rec-number&gt;&lt;foreign-keys&gt;&lt;key app="EN" db-id="xzeaxr220pp5w7eap54pxr5dazzat5fe2xae" timestamp="1627407083"&gt;439&lt;/key&gt;&lt;/foreign-keys&gt;&lt;ref-type name="Journal Article"&gt;17&lt;/ref-type&gt;&lt;contributors&gt;&lt;authors&gt;&lt;author&gt;Ramírez, Rafael&lt;/author&gt;&lt;author&gt;Österman, Riku&lt;/author&gt;&lt;author&gt;Grönquist, Daniel&lt;/author&gt;&lt;/authors&gt;&lt;/contributors&gt;&lt;titles&gt;&lt;title&gt;Scenarios and early warnings as dynamic capabilities to frame managerial attention&lt;/title&gt;&lt;secondary-title&gt;Technological Forecasting and Social Change&lt;/secondary-title&gt;&lt;/titles&gt;&lt;periodical&gt;&lt;full-title&gt;Technological Forecasting and Social Change&lt;/full-title&gt;&lt;/periodical&gt;&lt;pages&gt;825-838&lt;/pages&gt;&lt;volume&gt;80&lt;/volume&gt;&lt;number&gt;4&lt;/number&gt;&lt;keywords&gt;&lt;keyword&gt;Scenarios&lt;/keyword&gt;&lt;keyword&gt;Early warning&lt;/keyword&gt;&lt;keyword&gt;Dynamic capability&lt;/keyword&gt;&lt;keyword&gt;Framing&lt;/keyword&gt;&lt;keyword&gt;Top management&lt;/keyword&gt;&lt;keyword&gt;Competitive intelligence&lt;/keyword&gt;&lt;/keywords&gt;&lt;dates&gt;&lt;year&gt;2013&lt;/year&gt;&lt;pub-dates&gt;&lt;date&gt;2013/05/01/&lt;/date&gt;&lt;/pub-dates&gt;&lt;/dates&gt;&lt;isbn&gt;0040-1625&lt;/isbn&gt;&lt;urls&gt;&lt;related-urls&gt;&lt;url&gt;https://www.sciencedirect.com/science/article/pii/S0040162512002843&lt;/url&gt;&lt;/related-urls&gt;&lt;/urls&gt;&lt;electronic-resource-num&gt;https://doi.org/10.1016/j.techfore.2012.10.029&lt;/electronic-resource-num&gt;&lt;/record&gt;&lt;/Cite&gt;&lt;/EndNote&gt;</w:instrText>
      </w:r>
      <w:r w:rsidRPr="005647CA">
        <w:rPr>
          <w:szCs w:val="20"/>
          <w:lang w:val="es-ES_tradnl"/>
        </w:rPr>
        <w:fldChar w:fldCharType="separate"/>
      </w:r>
      <w:r w:rsidRPr="005647CA">
        <w:rPr>
          <w:szCs w:val="20"/>
          <w:lang w:val="es-ES_tradnl"/>
        </w:rPr>
        <w:t>Ramírez, Österman, and Grönquist (2013)</w:t>
      </w:r>
      <w:r w:rsidRPr="005647CA">
        <w:rPr>
          <w:szCs w:val="20"/>
        </w:rPr>
        <w:fldChar w:fldCharType="end"/>
      </w:r>
      <w:r w:rsidRPr="005647CA">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 AuthorYear="1"&gt;&lt;Author&gt;Rhisiart&lt;/Author&gt;&lt;Year&gt;2015&lt;/Year&gt;&lt;RecNum&gt;437&lt;/RecNum&gt;&lt;DisplayText&gt;Rhisiart et al. (2015)&lt;/DisplayText&gt;&lt;record&gt;&lt;rec-number&gt;437&lt;/rec-number&gt;&lt;foreign-keys&gt;&lt;key app="EN" db-id="xzeaxr220pp5w7eap54pxr5dazzat5fe2xae" timestamp="1627406769"&gt;437&lt;/key&gt;&lt;/foreign-keys&gt;&lt;ref-type name="Journal Article"&gt;17&lt;/ref-type&gt;&lt;contributors&gt;&lt;authors&gt;&lt;author&gt;Rhisiart, Martin&lt;/author&gt;&lt;author&gt;Miller, Riel&lt;/author&gt;&lt;author&gt;Brooks, Simon&lt;/author&gt;&lt;/authors&gt;&lt;/contributors&gt;&lt;titles&gt;&lt;title&gt;Learning to use the future: developing foresight capabilities through scenario processes&lt;/title&gt;&lt;secondary-title&gt;Technological Forecasting and Social Change&lt;/secondary-title&gt;&lt;/titles&gt;&lt;periodical&gt;&lt;full-title&gt;Technological Forecasting and Social Change&lt;/full-title&gt;&lt;/periodical&gt;&lt;pages&gt;124-133&lt;/pages&gt;&lt;volume&gt;101&lt;/volume&gt;&lt;keywords&gt;&lt;keyword&gt;Scenarios&lt;/keyword&gt;&lt;keyword&gt;Strategic foresight&lt;/keyword&gt;&lt;keyword&gt;Learning&lt;/keyword&gt;&lt;/keywords&gt;&lt;dates&gt;&lt;year&gt;2015&lt;/year&gt;&lt;pub-dates&gt;&lt;date&gt;2015/12/01/&lt;/date&gt;&lt;/pub-dates&gt;&lt;/dates&gt;&lt;isbn&gt;0040-1625&lt;/isbn&gt;&lt;urls&gt;&lt;related-urls&gt;&lt;url&gt;https://www.sciencedirect.com/science/article/pii/S0040162514003011&lt;/url&gt;&lt;/related-urls&gt;&lt;/urls&gt;&lt;electronic-resource-num&gt;https://doi.org/10.1016/j.techfore.2014.10.015&lt;/electronic-resource-num&gt;&lt;/record&gt;&lt;/Cite&gt;&lt;/EndNote&gt;</w:instrText>
      </w:r>
      <w:r w:rsidRPr="005647CA">
        <w:rPr>
          <w:szCs w:val="20"/>
          <w:lang w:val="es-ES_tradnl"/>
        </w:rPr>
        <w:fldChar w:fldCharType="separate"/>
      </w:r>
      <w:r w:rsidRPr="005647CA">
        <w:rPr>
          <w:szCs w:val="20"/>
          <w:lang w:val="es-ES_tradnl"/>
        </w:rPr>
        <w:t>Rhisiart et al. (2015)</w:t>
      </w:r>
      <w:r w:rsidRPr="005647CA">
        <w:rPr>
          <w:szCs w:val="20"/>
        </w:rPr>
        <w:fldChar w:fldCharType="end"/>
      </w:r>
      <w:r w:rsidRPr="005647CA">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 AuthorYear="1"&gt;&lt;Author&gt;Vecchiato&lt;/Author&gt;&lt;Year&gt;2015&lt;/Year&gt;&lt;RecNum&gt;438&lt;/RecNum&gt;&lt;DisplayText&gt;Vecchiato (2015)&lt;/DisplayText&gt;&lt;record&gt;&lt;rec-number&gt;438&lt;/rec-number&gt;&lt;foreign-keys&gt;&lt;key app="EN" db-id="xzeaxr220pp5w7eap54pxr5dazzat5fe2xae" timestamp="1627406941"&gt;438&lt;/key&gt;&lt;/foreign-keys&gt;&lt;ref-type name="Journal Article"&gt;17&lt;/ref-type&gt;&lt;contributors&gt;&lt;authors&gt;&lt;author&gt;Vecchiato, Riccardo&lt;/author&gt;&lt;/authors&gt;&lt;/contributors&gt;&lt;titles&gt;&lt;title&gt;Creating value through foresight: First mover advantages and strategic agility&lt;/title&gt;&lt;secondary-title&gt;Technological Forecasting and Social Change&lt;/secondary-title&gt;&lt;/titles&gt;&lt;periodical&gt;&lt;full-title&gt;Technological Forecasting and Social Change&lt;/full-title&gt;&lt;/periodical&gt;&lt;pages&gt;25-36&lt;/pages&gt;&lt;volume&gt;101&lt;/volume&gt;&lt;keywords&gt;&lt;keyword&gt;Environmental uncertainty&lt;/keyword&gt;&lt;keyword&gt;Corporate foresight&lt;/keyword&gt;&lt;keyword&gt;Adaptation&lt;/keyword&gt;&lt;keyword&gt;Inertia&lt;/keyword&gt;&lt;keyword&gt;Competitive advantage&lt;/keyword&gt;&lt;/keywords&gt;&lt;dates&gt;&lt;year&gt;2015&lt;/year&gt;&lt;pub-dates&gt;&lt;date&gt;2015/12/01/&lt;/date&gt;&lt;/pub-dates&gt;&lt;/dates&gt;&lt;isbn&gt;0040-1625&lt;/isbn&gt;&lt;urls&gt;&lt;related-urls&gt;&lt;url&gt;https://www.sciencedirect.com/science/article/pii/S0040162514002558&lt;/url&gt;&lt;/related-urls&gt;&lt;/urls&gt;&lt;electronic-resource-num&gt;https://doi.org/10.1016/j.techfore.2014.08.016&lt;/electronic-resource-num&gt;&lt;/record&gt;&lt;/Cite&gt;&lt;/EndNote&gt;</w:instrText>
      </w:r>
      <w:r w:rsidRPr="005647CA">
        <w:rPr>
          <w:szCs w:val="20"/>
          <w:lang w:val="es-ES_tradnl"/>
        </w:rPr>
        <w:fldChar w:fldCharType="separate"/>
      </w:r>
      <w:r w:rsidRPr="005647CA">
        <w:rPr>
          <w:szCs w:val="20"/>
          <w:lang w:val="es-ES_tradnl"/>
        </w:rPr>
        <w:t>Vecchiato (2015)</w:t>
      </w:r>
      <w:r w:rsidRPr="005647CA">
        <w:rPr>
          <w:szCs w:val="20"/>
        </w:rPr>
        <w:fldChar w:fldCharType="end"/>
      </w:r>
      <w:r w:rsidRPr="005647CA">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 AuthorYear="1"&gt;&lt;Author&gt;Yoon&lt;/Author&gt;&lt;Year&gt;2018&lt;/Year&gt;&lt;RecNum&gt;440&lt;/RecNum&gt;&lt;DisplayText&gt;Yoon, Kim, Vonortas, and Han (2018)&lt;/DisplayText&gt;&lt;record&gt;&lt;rec-number&gt;440&lt;/rec-number&gt;&lt;foreign-keys&gt;&lt;key app="EN" db-id="xzeaxr220pp5w7eap54pxr5dazzat5fe2xae" timestamp="1627407348"&gt;440&lt;/key&gt;&lt;/foreign-keys&gt;&lt;ref-type name="Journal Article"&gt;17&lt;/ref-type&gt;&lt;contributors&gt;&lt;authors&gt;&lt;author&gt;Yoon, Jeewhan&lt;/author&gt;&lt;author&gt;Kim, Youngjun&lt;/author&gt;&lt;author&gt;Vonortas, Nicholas S.&lt;/author&gt;&lt;author&gt;Han, Sung Won&lt;/author&gt;&lt;/authors&gt;&lt;/contributors&gt;&lt;titles&gt;&lt;title&gt;Corporate foresight and innovation: the effects of integrative capabilities and organisational learning&lt;/title&gt;&lt;secondary-title&gt;Technology Analysis &amp;amp; Strategic Management&lt;/secondary-title&gt;&lt;/titles&gt;&lt;periodical&gt;&lt;full-title&gt;Technology Analysis &amp;amp; Strategic Management&lt;/full-title&gt;&lt;/periodical&gt;&lt;pages&gt;633-645&lt;/pages&gt;&lt;volume&gt;30&lt;/volume&gt;&lt;number&gt;6&lt;/number&gt;&lt;dates&gt;&lt;year&gt;2018&lt;/year&gt;&lt;pub-dates&gt;&lt;date&gt;2018/06/03&lt;/date&gt;&lt;/pub-dates&gt;&lt;/dates&gt;&lt;publisher&gt;Routledge&lt;/publisher&gt;&lt;isbn&gt;0953-7325&lt;/isbn&gt;&lt;urls&gt;&lt;related-urls&gt;&lt;url&gt;https://doi.org/10.1080/09537325.2017.1395407&lt;/url&gt;&lt;/related-urls&gt;&lt;/urls&gt;&lt;electronic-resource-num&gt;10.1080/09537325.2017.1395407&lt;/electronic-resource-num&gt;&lt;/record&gt;&lt;/Cite&gt;&lt;/EndNote&gt;</w:instrText>
      </w:r>
      <w:r w:rsidRPr="005647CA">
        <w:rPr>
          <w:szCs w:val="20"/>
          <w:lang w:val="es-ES_tradnl"/>
        </w:rPr>
        <w:fldChar w:fldCharType="separate"/>
      </w:r>
      <w:r w:rsidRPr="005647CA">
        <w:rPr>
          <w:szCs w:val="20"/>
          <w:lang w:val="es-ES_tradnl"/>
        </w:rPr>
        <w:t>Yoon, Kim, Vonortas, and Han (2018)</w:t>
      </w:r>
      <w:r w:rsidRPr="005647CA">
        <w:rPr>
          <w:szCs w:val="20"/>
        </w:rPr>
        <w:fldChar w:fldCharType="end"/>
      </w:r>
      <w:r w:rsidRPr="005647CA">
        <w:rPr>
          <w:szCs w:val="20"/>
          <w:lang w:val="es-ES_tradnl"/>
        </w:rPr>
        <w:t xml:space="preserve">. Al ser la prospectiva tecnológica una actividad fundamental en los centros de investigación </w:t>
      </w:r>
      <w:r w:rsidRPr="005647CA">
        <w:rPr>
          <w:szCs w:val="20"/>
          <w:lang w:val="es-ES_tradnl"/>
        </w:rPr>
        <w:fldChar w:fldCharType="begin"/>
      </w:r>
      <w:r w:rsidRPr="005647CA">
        <w:rPr>
          <w:szCs w:val="20"/>
          <w:lang w:val="es-ES_tradnl"/>
        </w:rPr>
        <w:instrText xml:space="preserve"> ADDIN EN.CITE &lt;EndNote&gt;&lt;Cite&gt;&lt;Author&gt;Castillo&lt;/Author&gt;&lt;Year&gt;2021&lt;/Year&gt;&lt;RecNum&gt;441&lt;/RecNum&gt;&lt;DisplayText&gt;(Castillo &amp;amp; López, 2021)&lt;/DisplayText&gt;&lt;record&gt;&lt;rec-number&gt;441&lt;/rec-number&gt;&lt;foreign-keys&gt;&lt;key app="EN" db-id="xzeaxr220pp5w7eap54pxr5dazzat5fe2xae" timestamp="1627408076"&gt;441&lt;/key&gt;&lt;/foreign-keys&gt;&lt;ref-type name="Journal Article"&gt;17&lt;/ref-type&gt;&lt;contributors&gt;&lt;authors&gt;&lt;author&gt;Castillo, Nadia&lt;/author&gt;&lt;author&gt;López, Eugenio&lt;/author&gt;&lt;/authors&gt;&lt;/contributors&gt;&lt;titles&gt;&lt;title&gt;Technological foresight as support for the planning of research and development centers: the case of EI-UNAM&lt;/title&gt;&lt;secondary-title&gt;foresight&lt;/secondary-title&gt;&lt;/titles&gt;&lt;periodical&gt;&lt;full-title&gt;Foresight&lt;/full-title&gt;&lt;/periodical&gt;&lt;pages&gt;457-476&lt;/pages&gt;&lt;volume&gt;23&lt;/volume&gt;&lt;number&gt;4&lt;/number&gt;&lt;dates&gt;&lt;year&gt;2021&lt;/year&gt;&lt;/dates&gt;&lt;publisher&gt;Emerald Publishing Limited&lt;/publisher&gt;&lt;isbn&gt;1463-6689&lt;/isbn&gt;&lt;urls&gt;&lt;related-urls&gt;&lt;url&gt;https://doi.org/10.1108/FS-09-2020-0100&lt;/url&gt;&lt;/related-urls&gt;&lt;/urls&gt;&lt;electronic-resource-num&gt;10.1108/FS-09-2020-0100&lt;/electronic-resource-num&gt;&lt;access-date&gt;2021/07/27&lt;/access-date&gt;&lt;/record&gt;&lt;/Cite&gt;&lt;/EndNote&gt;</w:instrText>
      </w:r>
      <w:r w:rsidRPr="005647CA">
        <w:rPr>
          <w:szCs w:val="20"/>
          <w:lang w:val="es-ES_tradnl"/>
        </w:rPr>
        <w:fldChar w:fldCharType="separate"/>
      </w:r>
      <w:r w:rsidRPr="005647CA">
        <w:rPr>
          <w:szCs w:val="20"/>
          <w:lang w:val="es-ES_tradnl"/>
        </w:rPr>
        <w:t>(Castillo &amp; López, 2021)</w:t>
      </w:r>
      <w:r w:rsidRPr="005647CA">
        <w:rPr>
          <w:szCs w:val="20"/>
        </w:rPr>
        <w:fldChar w:fldCharType="end"/>
      </w:r>
      <w:r w:rsidRPr="005647CA">
        <w:rPr>
          <w:szCs w:val="20"/>
          <w:lang w:val="es-ES_tradnl"/>
        </w:rPr>
        <w:t>,  se hace pertinente estudiar cómo integrar la prospectiva tecnológica a las capacidades centrales de los centros de investigación como un conjunto de conocimientos que ayude a detectar, interpretar y responder a los cambios científicos y tecnológicos que afecten directamente a las líneas de investigación de una organización.</w:t>
      </w:r>
    </w:p>
    <w:p w14:paraId="32494DF2" w14:textId="1CCC5919" w:rsidR="009818A0" w:rsidRPr="00791128" w:rsidRDefault="005647CA" w:rsidP="00791128">
      <w:pPr>
        <w:spacing w:line="360" w:lineRule="auto"/>
        <w:ind w:firstLine="708"/>
        <w:jc w:val="both"/>
        <w:rPr>
          <w:szCs w:val="20"/>
        </w:rPr>
      </w:pPr>
      <w:r w:rsidRPr="005647CA">
        <w:rPr>
          <w:szCs w:val="20"/>
          <w:lang w:val="es-ES_tradnl"/>
        </w:rPr>
        <w:t>El objetivo del presente trabajo es relacionar el concepto de prospectiva tecnológica con las capacidades dinámicas dentro de los centros de investigación, considerando a las capacidades dinámicas como</w:t>
      </w:r>
      <w:r w:rsidRPr="005647CA">
        <w:rPr>
          <w:szCs w:val="20"/>
        </w:rPr>
        <w:t xml:space="preserve"> las rutinas organizativas y estratégicas con las cuáles las empresas logran nuevas configuraciones de recursos a medida que los mercados surgen, chocan, se dividen, evolucionan y mueren</w:t>
      </w:r>
      <w:r w:rsidRPr="005647CA">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&lt;EndNote&gt;&lt;Cite&gt;&lt;Author&gt;Eisenhardt&lt;/Author&gt;&lt;Year&gt;2000&lt;/Year&gt;&lt;RecNum&gt;2&lt;/RecNum&gt;&lt;DisplayText&gt;(Eisenhardt &amp;amp; Martin, 2000)&lt;/DisplayText&gt;&lt;record&gt;&lt;rec-number&gt;2&lt;/rec-number&gt;&lt;foreign-keys&gt;&lt;key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Cite&gt;&lt;Author&gt;Eisenhardt&lt;/Author&gt;&lt;Year&gt;2000&lt;/Year&gt;&lt;RecNum&gt;2&lt;/RecNum&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capablities&lt;/keyword&gt;&lt;/keywords&gt;&lt;dates&gt;&lt;year&gt;2000&lt;/year&gt;&lt;/dates&gt;&lt;urls&gt;&lt;/urls&gt;&lt;/record&gt;&lt;/Cite&gt;&lt;/EndNote&gt;</w:instrText>
      </w:r>
      <w:r w:rsidRPr="005647CA">
        <w:rPr>
          <w:szCs w:val="20"/>
          <w:lang w:val="es-ES_tradnl"/>
        </w:rPr>
        <w:fldChar w:fldCharType="separate"/>
      </w:r>
      <w:r w:rsidRPr="005647CA">
        <w:rPr>
          <w:szCs w:val="20"/>
          <w:lang w:val="es-ES_tradnl"/>
        </w:rPr>
        <w:t>(Eisenhardt &amp; Martin, 2000)</w:t>
      </w:r>
      <w:r w:rsidRPr="005647CA">
        <w:rPr>
          <w:szCs w:val="20"/>
        </w:rPr>
        <w:fldChar w:fldCharType="end"/>
      </w:r>
      <w:r w:rsidRPr="005647CA">
        <w:rPr>
          <w:szCs w:val="20"/>
          <w:lang w:val="es-ES_tradnl"/>
        </w:rPr>
        <w:t xml:space="preserve">. Al poder relacionar estos dos conceptos, la prospectiva tecnológica pasará a formar parte de las actividades esenciales de una organización y no solo ser vista como una actividad complementaria. Esto permitirá a las organizaciones estar mejor preparadas para los cambios en el mercado. Por lo tanto es pertinente estudiar de qué forma la prospectiva tecnológica se puede integrar a las rutinas organizacionales y estratégicas de la empresa para </w:t>
      </w:r>
      <w:r w:rsidRPr="005647CA">
        <w:rPr>
          <w:szCs w:val="20"/>
        </w:rPr>
        <w:t xml:space="preserve">detectar la necesidad de renovar y reconfigurar los recursos de la organización, sobre todo en los centros de investigación, la importancia de los activos intangibles, incluido el capital intelectual y la gestión del conocimiento, es superior a los demás activos convencionales, como dinero, terrenos, maquinaria, etc. </w:t>
      </w:r>
      <w:r w:rsidRPr="005647CA">
        <w:rPr>
          <w:szCs w:val="20"/>
        </w:rPr>
        <w:fldChar w:fldCharType="begin"/>
      </w:r>
      <w:r w:rsidRPr="005647CA">
        <w:rPr>
          <w:szCs w:val="20"/>
        </w:rPr>
        <w:instrText xml:space="preserve"> ADDIN EN.CITE &lt;EndNote&gt;&lt;Cite&gt;&lt;Author&gt;Zahedi&lt;/Author&gt;&lt;Year&gt;2018&lt;/Year&gt;&lt;RecNum&gt;422&lt;/RecNum&gt;&lt;DisplayText&gt;(Zahedi &amp;amp; Papoli, 2018)&lt;/DisplayText&gt;&lt;record&gt;&lt;rec-number&gt;422&lt;/rec-number&gt;&lt;foreign-keys&gt;&lt;key app="EN" db-id="xzeaxr220pp5w7eap54pxr5dazzat5fe2xae" timestamp="1623368571"&gt;422&lt;/key&gt;&lt;/foreign-keys&gt;&lt;ref-type name="Journal Article"&gt;17&lt;/ref-type&gt;&lt;contributors&gt;&lt;authors&gt;&lt;author&gt;Zahedi, Mohammad Reza&lt;/author&gt;&lt;author&gt;Papoli, Shirin&lt;/author&gt;&lt;/authors&gt;&lt;/contributors&gt;&lt;titles&gt;&lt;title&gt;Studying the Relationship between the Knowledge Management Processes and Intellectual Capital in a Knowledge-Based Research Center&lt;/title&gt;&lt;secondary-title&gt;International Journal of Research in Business Studies and Management&lt;/secondary-title&gt;&lt;/titles&gt;&lt;periodical&gt;&lt;full-title&gt;International Journal of Research in Business Studies and Management&lt;/full-title&gt;&lt;/periodical&gt;&lt;pages&gt;1-19&lt;/pages&gt;&lt;volume&gt;5&lt;/volume&gt;&lt;number&gt;12&lt;/number&gt;&lt;dates&gt;&lt;year&gt;2018&lt;/year&gt;&lt;/dates&gt;&lt;urls&gt;&lt;/urls&gt;&lt;/record&gt;&lt;/Cite&gt;&lt;/EndNote&gt;</w:instrText>
      </w:r>
      <w:r w:rsidRPr="005647CA">
        <w:rPr>
          <w:szCs w:val="20"/>
        </w:rPr>
        <w:fldChar w:fldCharType="separate"/>
      </w:r>
      <w:r w:rsidRPr="005647CA">
        <w:rPr>
          <w:szCs w:val="20"/>
        </w:rPr>
        <w:t>(Zahedi &amp; Papoli, 2018)</w:t>
      </w:r>
      <w:r w:rsidRPr="005647CA">
        <w:rPr>
          <w:szCs w:val="20"/>
        </w:rPr>
        <w:fldChar w:fldCharType="end"/>
      </w:r>
      <w:r w:rsidRPr="005647CA">
        <w:rPr>
          <w:szCs w:val="20"/>
        </w:rPr>
        <w:t>.</w:t>
      </w:r>
    </w:p>
    <w:p w14:paraId="697E134F" w14:textId="2A121537" w:rsidR="005647CA" w:rsidRPr="005647CA" w:rsidRDefault="009818A0" w:rsidP="005647CA">
      <w:pPr>
        <w:spacing w:line="360" w:lineRule="auto"/>
        <w:rPr>
          <w:b/>
          <w:color w:val="244061"/>
          <w:sz w:val="28"/>
        </w:rPr>
      </w:pPr>
      <w:r w:rsidRPr="00B60952">
        <w:rPr>
          <w:b/>
          <w:color w:val="244061"/>
          <w:sz w:val="28"/>
        </w:rPr>
        <w:t>2</w:t>
      </w:r>
      <w:r w:rsidR="005C1920" w:rsidRPr="00B60952">
        <w:rPr>
          <w:b/>
          <w:color w:val="244061"/>
          <w:sz w:val="28"/>
        </w:rPr>
        <w:t>. Marco Teórico</w:t>
      </w:r>
    </w:p>
    <w:p w14:paraId="5E11B9FE" w14:textId="43361852" w:rsidR="005647CA" w:rsidRPr="005647CA" w:rsidRDefault="005647CA" w:rsidP="005647CA">
      <w:pPr>
        <w:spacing w:line="360" w:lineRule="auto"/>
        <w:jc w:val="both"/>
        <w:rPr>
          <w:sz w:val="28"/>
          <w:szCs w:val="28"/>
          <w:lang w:val="es-ES_tradnl"/>
        </w:rPr>
      </w:pPr>
      <w:r w:rsidRPr="005647CA">
        <w:rPr>
          <w:sz w:val="28"/>
          <w:szCs w:val="28"/>
          <w:lang w:val="es-ES_tradnl"/>
        </w:rPr>
        <w:t>2.1 Prospectiva tecnológica</w:t>
      </w:r>
    </w:p>
    <w:p w14:paraId="69193BE2" w14:textId="77777777" w:rsidR="005647CA" w:rsidRPr="005647CA" w:rsidRDefault="005647CA" w:rsidP="005647CA">
      <w:pPr>
        <w:spacing w:line="360" w:lineRule="auto"/>
        <w:jc w:val="both"/>
        <w:rPr>
          <w:szCs w:val="20"/>
          <w:lang w:val="es-ES_tradnl"/>
        </w:rPr>
      </w:pPr>
      <w:r w:rsidRPr="005647CA">
        <w:rPr>
          <w:szCs w:val="20"/>
          <w:lang w:val="es-ES_tradnl"/>
        </w:rPr>
        <w:lastRenderedPageBreak/>
        <w:t xml:space="preserve">La prospectiva tecnológica moderna tiene sus raíces en las agencias gubernamentales de Estados Unidos, especialmente en el departamento de defensa entre los años de 1950 y 1960. Los estudios de prospectiva realizados por las agencias de Estados Unidos tenían como objetivo ayudar a dirigir de manera correcta las inversiones en tecnología </w:t>
      </w:r>
      <w:r w:rsidRPr="005647CA">
        <w:rPr>
          <w:szCs w:val="20"/>
          <w:lang w:val="es-ES_tradnl"/>
        </w:rPr>
        <w:fldChar w:fldCharType="begin"/>
      </w:r>
      <w:r w:rsidRPr="005647CA">
        <w:rPr>
          <w:szCs w:val="20"/>
          <w:lang w:val="es-ES_tradnl"/>
        </w:rPr>
        <w:instrText xml:space="preserve"> ADDIN EN.CITE &lt;EndNote&gt;&lt;Cite&gt;&lt;Author&gt;Ende&lt;/Author&gt;&lt;Year&gt;1998&lt;/Year&gt;&lt;RecNum&gt;28&lt;/RecNum&gt;&lt;DisplayText&gt;(Ende, Mulder, Knot, Moors, &amp;amp; Vergragt, 1998)&lt;/DisplayText&gt;&lt;record&gt;&lt;rec-number&gt;28&lt;/rec-number&gt;&lt;foreign-keys&gt;&lt;key app="EN" db-id="xzeaxr220pp5w7eap54pxr5dazzat5fe2xae" timestamp="1523592400"&gt;28&lt;/key&gt;&lt;key app="ENWeb" db-id=""&gt;0&lt;/key&gt;&lt;/foreign-keys&gt;&lt;ref-type name="Journal Article"&gt;17&lt;/ref-type&gt;&lt;contributors&gt;&lt;authors&gt;&lt;author&gt;Jan Van Den Ende&lt;/author&gt;&lt;author&gt;Mulder, Karel&lt;/author&gt;&lt;author&gt;Knot, Marjolijin&lt;/author&gt;&lt;author&gt;Moors, Ellen&lt;/author&gt;&lt;author&gt;Vergragt, Philip&lt;/author&gt;&lt;/authors&gt;&lt;/contributors&gt;&lt;titles&gt;&lt;title&gt;Traditional and Modern Technology Assessment: Toward a Toolkit&lt;/title&gt;&lt;secondary-title&gt;Technological Forecasting and Social Change&lt;/secondary-title&gt;&lt;/titles&gt;&lt;periodical&gt;&lt;full-title&gt;Technological Forecasting and Social Change&lt;/full-title&gt;&lt;/periodical&gt;&lt;pages&gt;5-21&lt;/pages&gt;&lt;volume&gt;58&lt;/volume&gt;&lt;number&gt;1-2&lt;/number&gt;&lt;keywords&gt;&lt;keyword&gt;Forecast&lt;/keyword&gt;&lt;keyword&gt;Foresigth&lt;/keyword&gt;&lt;/keywords&gt;&lt;dates&gt;&lt;year&gt;1998&lt;/year&gt;&lt;/dates&gt;&lt;urls&gt;&lt;/urls&gt;&lt;electronic-resource-num&gt;10.1016/S0040-1625(97)00052-8&lt;/electronic-resource-num&gt;&lt;/record&gt;&lt;/Cite&gt;&lt;/EndNote&gt;</w:instrText>
      </w:r>
      <w:r w:rsidRPr="005647CA">
        <w:rPr>
          <w:szCs w:val="20"/>
          <w:lang w:val="es-ES_tradnl"/>
        </w:rPr>
        <w:fldChar w:fldCharType="separate"/>
      </w:r>
      <w:r w:rsidRPr="005647CA">
        <w:rPr>
          <w:szCs w:val="20"/>
          <w:lang w:val="es-ES_tradnl"/>
        </w:rPr>
        <w:t>(Ende, Mulder, Knot, Moors, &amp; Vergragt, 1998)</w:t>
      </w:r>
      <w:r w:rsidRPr="005647CA">
        <w:rPr>
          <w:szCs w:val="20"/>
          <w:lang w:val="es-ES_tradnl"/>
        </w:rPr>
        <w:fldChar w:fldCharType="end"/>
      </w:r>
      <w:r w:rsidRPr="005647CA">
        <w:rPr>
          <w:szCs w:val="20"/>
          <w:lang w:val="es-ES_tradnl"/>
        </w:rPr>
        <w:t xml:space="preserve">.  En la década de los 70’s varias agencias gubernamentales de Japón comenzaron a conducir estudios de prospectiva tecnológica </w:t>
      </w:r>
      <w:r w:rsidRPr="005647CA">
        <w:rPr>
          <w:szCs w:val="20"/>
          <w:lang w:val="es-ES_tradnl"/>
        </w:rPr>
        <w:fldChar w:fldCharType="begin"/>
      </w:r>
      <w:r w:rsidRPr="005647CA">
        <w:rPr>
          <w:szCs w:val="20"/>
          <w:lang w:val="es-ES_tradnl"/>
        </w:rPr>
        <w:instrText xml:space="preserve"> ADDIN EN.CITE &lt;EndNote&gt;&lt;Cite&gt;&lt;Author&gt;Martin&lt;/Author&gt;&lt;Year&gt;1995&lt;/Year&gt;&lt;RecNum&gt;26&lt;/RecNum&gt;&lt;DisplayText&gt;(Martin, 1995)&lt;/DisplayText&gt;&lt;record&gt;&lt;rec-number&gt;26&lt;/rec-number&gt;&lt;foreign-keys&gt;&lt;key app="EN" db-id="xzeaxr220pp5w7eap54pxr5dazzat5fe2xae" timestamp="1523592329"&gt;26&lt;/key&gt;&lt;key app="ENWeb" db-id=""&gt;0&lt;/key&gt;&lt;/foreign-keys&gt;&lt;ref-type name="Journal Article"&gt;17&lt;/ref-type&gt;&lt;contributors&gt;&lt;authors&gt;&lt;author&gt;Ben R. Martin&lt;/author&gt;&lt;/authors&gt;&lt;/contributors&gt;&lt;titles&gt;&lt;title&gt;Foresight in science and technology&lt;/title&gt;&lt;secondary-title&gt;Technology Analysis &amp;amp; Strategic Management&lt;/secondary-title&gt;&lt;/titles&gt;&lt;periodical&gt;&lt;full-title&gt;Technology Analysis &amp;amp; Strategic Management&lt;/full-title&gt;&lt;/periodical&gt;&lt;pages&gt;139-168&lt;/pages&gt;&lt;volume&gt;7&lt;/volume&gt;&lt;number&gt;2&lt;/number&gt;&lt;dates&gt;&lt;year&gt;1995&lt;/year&gt;&lt;/dates&gt;&lt;urls&gt;&lt;/urls&gt;&lt;electronic-resource-num&gt;10.1080/09537329508524202&lt;/electronic-resource-num&gt;&lt;/record&gt;&lt;/Cite&gt;&lt;/EndNote&gt;</w:instrText>
      </w:r>
      <w:r w:rsidRPr="005647CA">
        <w:rPr>
          <w:szCs w:val="20"/>
          <w:lang w:val="es-ES_tradnl"/>
        </w:rPr>
        <w:fldChar w:fldCharType="separate"/>
      </w:r>
      <w:r w:rsidRPr="005647CA">
        <w:rPr>
          <w:szCs w:val="20"/>
          <w:lang w:val="es-ES_tradnl"/>
        </w:rPr>
        <w:t>(Martin, 1995)</w:t>
      </w:r>
      <w:r w:rsidRPr="005647CA">
        <w:rPr>
          <w:szCs w:val="20"/>
          <w:lang w:val="es-ES_tradnl"/>
        </w:rPr>
        <w:fldChar w:fldCharType="end"/>
      </w:r>
      <w:r w:rsidRPr="005647CA">
        <w:rPr>
          <w:szCs w:val="20"/>
          <w:lang w:val="es-ES_tradnl"/>
        </w:rPr>
        <w:t xml:space="preserve">. Mientras que en la década de los noventa los países de Europa comenzaron a utilizar la prospectiva tecnológica de manera sistemática </w:t>
      </w:r>
      <w:r w:rsidRPr="005647CA">
        <w:rPr>
          <w:szCs w:val="20"/>
          <w:lang w:val="es-ES_tradnl"/>
        </w:rPr>
        <w:fldChar w:fldCharType="begin"/>
      </w:r>
      <w:r w:rsidRPr="005647CA">
        <w:rPr>
          <w:szCs w:val="20"/>
          <w:lang w:val="es-ES_tradnl"/>
        </w:rPr>
        <w:instrText xml:space="preserve"> ADDIN EN.CITE &lt;EndNote&gt;&lt;Cite&gt;&lt;Author&gt;Blind&lt;/Author&gt;&lt;Year&gt;1999&lt;/Year&gt;&lt;RecNum&gt;34&lt;/RecNum&gt;&lt;DisplayText&gt;(Blind, Cuhls, &amp;amp; Grupp, 1999)&lt;/DisplayText&gt;&lt;record&gt;&lt;rec-number&gt;34&lt;/rec-number&gt;&lt;foreign-keys&gt;&lt;key app="EN" db-id="xzeaxr220pp5w7eap54pxr5dazzat5fe2xae" timestamp="1523592421"&gt;34&lt;/key&gt;&lt;key app="ENWeb" db-id=""&gt;0&lt;/key&gt;&lt;/foreign-keys&gt;&lt;ref-type name="Journal Article"&gt;17&lt;/ref-type&gt;&lt;contributors&gt;&lt;authors&gt;&lt;author&gt;Knut Blind&lt;/author&gt;&lt;author&gt;Cuhls, Kerstin&lt;/author&gt;&lt;author&gt;Grupp, Hariolf&lt;/author&gt;&lt;/authors&gt;&lt;/contributors&gt;&lt;titles&gt;&lt;title&gt;Current Foresight Activities in Central Europe&lt;/title&gt;&lt;secondary-title&gt;Technological Forecasting and Social Change&lt;/secondary-title&gt;&lt;/titles&gt;&lt;periodical&gt;&lt;full-title&gt;Technological Forecasting and Social Change&lt;/full-title&gt;&lt;/periodical&gt;&lt;pages&gt;15-35&lt;/pages&gt;&lt;volume&gt;60&lt;/volume&gt;&lt;number&gt;1&lt;/number&gt;&lt;keywords&gt;&lt;keyword&gt;Forecast&lt;/keyword&gt;&lt;keyword&gt;Foresigth&lt;/keyword&gt;&lt;/keywords&gt;&lt;dates&gt;&lt;year&gt;1999&lt;/year&gt;&lt;/dates&gt;&lt;urls&gt;&lt;/urls&gt;&lt;electronic-resource-num&gt;10.1016/S0040-1625(98)00021-3&lt;/electronic-resource-num&gt;&lt;/record&gt;&lt;/Cite&gt;&lt;/EndNote&gt;</w:instrText>
      </w:r>
      <w:r w:rsidRPr="005647CA">
        <w:rPr>
          <w:szCs w:val="20"/>
          <w:lang w:val="es-ES_tradnl"/>
        </w:rPr>
        <w:fldChar w:fldCharType="separate"/>
      </w:r>
      <w:r w:rsidRPr="005647CA">
        <w:rPr>
          <w:szCs w:val="20"/>
          <w:lang w:val="es-ES_tradnl"/>
        </w:rPr>
        <w:t>(Blind, Cuhls, &amp; Grupp, 1999)</w:t>
      </w:r>
      <w:r w:rsidRPr="005647CA">
        <w:rPr>
          <w:szCs w:val="20"/>
          <w:lang w:val="es-ES_tradnl"/>
        </w:rPr>
        <w:fldChar w:fldCharType="end"/>
      </w:r>
      <w:r w:rsidRPr="005647CA">
        <w:rPr>
          <w:szCs w:val="20"/>
          <w:lang w:val="es-ES_tradnl"/>
        </w:rPr>
        <w:t xml:space="preserve">. En el caso de la prospectiva tecnológica en las organizaciones, los primeros estudios fueron conducidos en Inglaterra en la universidad de Sussex dentro del departamento de </w:t>
      </w:r>
      <w:proofErr w:type="spellStart"/>
      <w:r w:rsidRPr="005647CA">
        <w:rPr>
          <w:szCs w:val="20"/>
          <w:lang w:val="es-ES_tradnl"/>
        </w:rPr>
        <w:t>Science</w:t>
      </w:r>
      <w:proofErr w:type="spellEnd"/>
      <w:r w:rsidRPr="005647CA">
        <w:rPr>
          <w:szCs w:val="20"/>
          <w:lang w:val="es-ES_tradnl"/>
        </w:rPr>
        <w:t xml:space="preserve"> </w:t>
      </w:r>
      <w:proofErr w:type="spellStart"/>
      <w:r w:rsidRPr="005647CA">
        <w:rPr>
          <w:szCs w:val="20"/>
          <w:lang w:val="es-ES_tradnl"/>
        </w:rPr>
        <w:t>Policy</w:t>
      </w:r>
      <w:proofErr w:type="spellEnd"/>
      <w:r w:rsidRPr="005647CA">
        <w:rPr>
          <w:szCs w:val="20"/>
          <w:lang w:val="es-ES_tradnl"/>
        </w:rPr>
        <w:t xml:space="preserve"> </w:t>
      </w:r>
      <w:proofErr w:type="spellStart"/>
      <w:r w:rsidRPr="005647CA">
        <w:rPr>
          <w:szCs w:val="20"/>
          <w:lang w:val="es-ES_tradnl"/>
        </w:rPr>
        <w:t>Research</w:t>
      </w:r>
      <w:proofErr w:type="spellEnd"/>
      <w:r w:rsidRPr="005647CA">
        <w:rPr>
          <w:szCs w:val="20"/>
          <w:lang w:val="es-ES_tradnl"/>
        </w:rPr>
        <w:t xml:space="preserve"> </w:t>
      </w:r>
      <w:proofErr w:type="spellStart"/>
      <w:r w:rsidRPr="005647CA">
        <w:rPr>
          <w:szCs w:val="20"/>
          <w:lang w:val="es-ES_tradnl"/>
        </w:rPr>
        <w:t>Unit</w:t>
      </w:r>
      <w:proofErr w:type="spellEnd"/>
      <w:r w:rsidRPr="005647CA">
        <w:rPr>
          <w:szCs w:val="20"/>
          <w:lang w:val="es-ES_tradnl"/>
        </w:rPr>
        <w:t xml:space="preserve"> (SPRU) entre 1970 y 1980 </w:t>
      </w:r>
      <w:r w:rsidRPr="005647CA">
        <w:rPr>
          <w:szCs w:val="20"/>
          <w:lang w:val="es-ES_tradnl"/>
        </w:rPr>
        <w:fldChar w:fldCharType="begin"/>
      </w:r>
      <w:r w:rsidRPr="005647CA">
        <w:rPr>
          <w:szCs w:val="20"/>
          <w:lang w:val="es-ES_tradnl"/>
        </w:rPr>
        <w:instrText xml:space="preserve"> ADDIN EN.CITE &lt;EndNote&gt;&lt;Cite&gt;&lt;Author&gt;Miles&lt;/Author&gt;&lt;Year&gt;2010&lt;/Year&gt;&lt;RecNum&gt;22&lt;/RecNum&gt;&lt;DisplayText&gt;(Miles, 2010)&lt;/DisplayText&gt;&lt;record&gt;&lt;rec-number&gt;22&lt;/rec-number&gt;&lt;foreign-keys&gt;&lt;key app="EN" db-id="xzeaxr220pp5w7eap54pxr5dazzat5fe2xae" timestamp="1523592305"&gt;22&lt;/key&gt;&lt;key app="ENWeb" db-id=""&gt;0&lt;/key&gt;&lt;/foreign-keys&gt;&lt;ref-type name="Journal Article"&gt;17&lt;/ref-type&gt;&lt;contributors&gt;&lt;authors&gt;&lt;author&gt;Ian Miles&lt;/author&gt;&lt;/authors&gt;&lt;/contributors&gt;&lt;titles&gt;&lt;title&gt;The development of technology foresight: A review&lt;/title&gt;&lt;secondary-title&gt;Technological Forecasting &amp;amp; Social Change&lt;/secondary-title&gt;&lt;/titles&gt;&lt;periodical&gt;&lt;full-title&gt;Technological Forecasting &amp;amp; Social Change&lt;/full-title&gt;&lt;/periodical&gt;&lt;pages&gt;1448-1456&lt;/pages&gt;&lt;volume&gt;77&lt;/volume&gt;&lt;number&gt;9&lt;/number&gt;&lt;section&gt;1448&lt;/section&gt;&lt;keywords&gt;&lt;keyword&gt;Foresigth&lt;/keyword&gt;&lt;keyword&gt;Forecast&lt;/keyword&gt;&lt;/keywords&gt;&lt;dates&gt;&lt;year&gt;2010&lt;/year&gt;&lt;/dates&gt;&lt;urls&gt;&lt;/urls&gt;&lt;electronic-resource-num&gt;10.1016/j.techfore.2010.07.016&lt;/electronic-resource-num&gt;&lt;/record&gt;&lt;/Cite&gt;&lt;/EndNote&gt;</w:instrText>
      </w:r>
      <w:r w:rsidRPr="005647CA">
        <w:rPr>
          <w:szCs w:val="20"/>
          <w:lang w:val="es-ES_tradnl"/>
        </w:rPr>
        <w:fldChar w:fldCharType="separate"/>
      </w:r>
      <w:r w:rsidRPr="005647CA">
        <w:rPr>
          <w:szCs w:val="20"/>
          <w:lang w:val="es-ES_tradnl"/>
        </w:rPr>
        <w:t>(Miles, 2010)</w:t>
      </w:r>
      <w:r w:rsidRPr="005647CA">
        <w:rPr>
          <w:szCs w:val="20"/>
          <w:lang w:val="es-ES_tradnl"/>
        </w:rPr>
        <w:fldChar w:fldCharType="end"/>
      </w:r>
      <w:r w:rsidRPr="005647CA">
        <w:rPr>
          <w:szCs w:val="20"/>
          <w:lang w:val="es-ES_tradnl"/>
        </w:rPr>
        <w:t xml:space="preserve">. </w:t>
      </w:r>
    </w:p>
    <w:p w14:paraId="17C839A9"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En la literatura existen dos enfoques importantes con los cuales se estudia a la prospectiva tecnológica. El primero enfoque es el estudio de la prospectiva tecnológica como un proceso </w:t>
      </w:r>
      <w:r w:rsidRPr="005647CA">
        <w:rPr>
          <w:szCs w:val="20"/>
          <w:lang w:val="es-ES_tradnl"/>
        </w:rPr>
        <w:fldChar w:fldCharType="begin">
          <w:fldData xml:space="preserve">PEVuZE5vdGU+PENpdGU+PEF1dGhvcj5CZWNrZXI8L0F1dGhvcj48WWVhcj4yMDAyPC9ZZWFyPjxS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</w:fldData>
        </w:fldChar>
      </w:r>
      <w:r w:rsidRPr="005647CA">
        <w:rPr>
          <w:szCs w:val="20"/>
          <w:lang w:val="es-ES_tradnl"/>
        </w:rPr>
        <w:instrText xml:space="preserve"> ADDIN EN.CITE </w:instrText>
      </w:r>
      <w:r w:rsidRPr="005647CA">
        <w:rPr>
          <w:szCs w:val="20"/>
          <w:lang w:val="es-ES_tradnl"/>
        </w:rPr>
        <w:fldChar w:fldCharType="begin">
          <w:fldData xml:space="preserve">PEVuZE5vdGU+PENpdGU+PEF1dGhvcj5CZWNrZXI8L0F1dGhvcj48WWVhcj4yMDAyPC9ZZWFyPjxS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</w:fldData>
        </w:fldChar>
      </w:r>
      <w:r w:rsidRPr="005647CA">
        <w:rPr>
          <w:szCs w:val="20"/>
          <w:lang w:val="es-ES_tradnl"/>
        </w:rPr>
        <w:instrText xml:space="preserve"> ADDIN EN.CITE.DATA </w:instrText>
      </w:r>
      <w:r w:rsidRPr="005647CA">
        <w:rPr>
          <w:szCs w:val="20"/>
          <w:lang w:val="es-ES_tradnl"/>
        </w:rPr>
      </w:r>
      <w:r w:rsidRPr="005647CA">
        <w:rPr>
          <w:szCs w:val="20"/>
          <w:lang w:val="es-ES_tradnl"/>
        </w:rPr>
        <w:fldChar w:fldCharType="end"/>
      </w:r>
      <w:r w:rsidRPr="005647CA">
        <w:rPr>
          <w:szCs w:val="20"/>
          <w:lang w:val="es-ES_tradnl"/>
        </w:rPr>
      </w:r>
      <w:r w:rsidRPr="005647CA">
        <w:rPr>
          <w:szCs w:val="20"/>
          <w:lang w:val="es-ES_tradnl"/>
        </w:rPr>
        <w:fldChar w:fldCharType="separate"/>
      </w:r>
      <w:r w:rsidRPr="005647CA">
        <w:rPr>
          <w:szCs w:val="20"/>
          <w:lang w:val="es-ES_tradnl"/>
        </w:rPr>
        <w:t>(Becker, 2002; Horton, 1999; Reger, 2001; Will, 2008)</w:t>
      </w:r>
      <w:r w:rsidRPr="005647CA">
        <w:rPr>
          <w:szCs w:val="20"/>
          <w:lang w:val="es-ES_tradnl"/>
        </w:rPr>
        <w:fldChar w:fldCharType="end"/>
      </w:r>
      <w:r w:rsidRPr="005647CA">
        <w:rPr>
          <w:szCs w:val="20"/>
          <w:lang w:val="es-ES_tradnl"/>
        </w:rPr>
        <w:t xml:space="preserve">, mientras que el segundo enfoque estudia a la prospectiva como una habilidad </w:t>
      </w:r>
      <w:r w:rsidRPr="005647CA">
        <w:rPr>
          <w:szCs w:val="20"/>
          <w:lang w:val="es-ES_tradnl"/>
        </w:rPr>
        <w:fldChar w:fldCharType="begin">
          <w:fldData xml:space="preserve">PEVuZE5vdGU+PENpdGU+PEF1dGhvcj5Sb2hyYmVjazwvQXV0aG9yPjxZZWFyPjIwMTA8L1llYXI+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</w:fldData>
        </w:fldChar>
      </w:r>
      <w:r w:rsidRPr="005647CA">
        <w:rPr>
          <w:szCs w:val="20"/>
          <w:lang w:val="es-ES_tradnl"/>
        </w:rPr>
        <w:instrText xml:space="preserve"> ADDIN EN.CITE </w:instrText>
      </w:r>
      <w:r w:rsidRPr="005647CA">
        <w:rPr>
          <w:szCs w:val="20"/>
          <w:lang w:val="es-ES_tradnl"/>
        </w:rPr>
        <w:fldChar w:fldCharType="begin">
          <w:fldData xml:space="preserve">PEVuZE5vdGU+PENpdGU+PEF1dGhvcj5Sb2hyYmVjazwvQXV0aG9yPjxZZWFyPjIwMTA8L1llYXI+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</w:fldData>
        </w:fldChar>
      </w:r>
      <w:r w:rsidRPr="005647CA">
        <w:rPr>
          <w:szCs w:val="20"/>
          <w:lang w:val="es-ES_tradnl"/>
        </w:rPr>
        <w:instrText xml:space="preserve"> ADDIN EN.CITE.DATA </w:instrText>
      </w:r>
      <w:r w:rsidRPr="005647CA">
        <w:rPr>
          <w:szCs w:val="20"/>
          <w:lang w:val="es-ES_tradnl"/>
        </w:rPr>
      </w:r>
      <w:r w:rsidRPr="005647CA">
        <w:rPr>
          <w:szCs w:val="20"/>
          <w:lang w:val="es-ES_tradnl"/>
        </w:rPr>
        <w:fldChar w:fldCharType="end"/>
      </w:r>
      <w:r w:rsidRPr="005647CA">
        <w:rPr>
          <w:szCs w:val="20"/>
          <w:lang w:val="es-ES_tradnl"/>
        </w:rPr>
      </w:r>
      <w:r w:rsidRPr="005647CA">
        <w:rPr>
          <w:szCs w:val="20"/>
          <w:lang w:val="es-ES_tradnl"/>
        </w:rPr>
        <w:fldChar w:fldCharType="separate"/>
      </w:r>
      <w:r w:rsidRPr="005647CA">
        <w:rPr>
          <w:szCs w:val="20"/>
          <w:lang w:val="es-ES_tradnl"/>
        </w:rPr>
        <w:t>(MacKay &amp; McKiernan, 2004; Rohrbeck, 2010; Slaughter, 1998)</w:t>
      </w:r>
      <w:r w:rsidRPr="005647CA">
        <w:rPr>
          <w:szCs w:val="20"/>
          <w:lang w:val="es-ES_tradnl"/>
        </w:rPr>
        <w:fldChar w:fldCharType="end"/>
      </w:r>
      <w:r w:rsidRPr="005647CA">
        <w:rPr>
          <w:szCs w:val="20"/>
          <w:lang w:val="es-ES_tradnl"/>
        </w:rPr>
        <w:t xml:space="preserve">. Para la presente investigación se estudiará a la prospectiva como una habilidad y se retomará la definición de </w:t>
      </w:r>
      <w:r w:rsidRPr="005647CA">
        <w:rPr>
          <w:szCs w:val="20"/>
          <w:lang w:val="es-ES_tradnl"/>
        </w:rPr>
        <w:fldChar w:fldCharType="begin"/>
      </w:r>
      <w:r w:rsidRPr="005647CA">
        <w:rPr>
          <w:szCs w:val="20"/>
          <w:lang w:val="es-ES_tradnl"/>
        </w:rPr>
        <w:instrText xml:space="preserve"> ADDIN EN.CITE &lt;EndNote&gt;&lt;Cite AuthorYear="1"&gt;&lt;Author&gt;Rohrbeck&lt;/Author&gt;&lt;Year&gt;2010&lt;/Year&gt;&lt;RecNum&gt;51&lt;/RecNum&gt;&lt;DisplayText&gt;Rohrbeck (2010)&lt;/DisplayText&gt;&lt;record&gt;&lt;rec-number&gt;51&lt;/rec-number&gt;&lt;foreign-keys&gt;&lt;key app="EN" db-id="xzeaxr220pp5w7eap54pxr5dazzat5fe2xae" timestamp="1523592504"&gt;51&lt;/key&gt;&lt;key app="ENWeb" db-id=""&gt;0&lt;/key&gt;&lt;/foreign-keys&gt;&lt;ref-type name="Book"&gt;6&lt;/ref-type&gt;&lt;contributors&gt;&lt;authors&gt;&lt;author&gt;René Rohrbeck &lt;/author&gt;&lt;/authors&gt;&lt;/contributors&gt;&lt;titles&gt;&lt;title&gt;Corporate Foresight: Towards a Maturity Model for the Future Orientation of a Firm&lt;/title&gt;&lt;/titles&gt;&lt;section&gt;240&lt;/section&gt;&lt;keywords&gt;&lt;keyword&gt;Foresigth&lt;/keyword&gt;&lt;/keywords&gt;&lt;dates&gt;&lt;year&gt;2010&lt;/year&gt;&lt;/dates&gt;&lt;pub-location&gt;Berlín&lt;/pub-location&gt;&lt;publisher&gt;Springer-Verlag&lt;/publisher&gt;&lt;isbn&gt;978-3-7908-2625-8&lt;/isbn&gt;&lt;urls&gt;&lt;/urls&gt;&lt;electronic-resource-num&gt;10.1007/978-3-7908-2626-5&lt;/electronic-resource-num&gt;&lt;/record&gt;&lt;/Cite&gt;&lt;/EndNote&gt;</w:instrText>
      </w:r>
      <w:r w:rsidRPr="005647CA">
        <w:rPr>
          <w:szCs w:val="20"/>
          <w:lang w:val="es-ES_tradnl"/>
        </w:rPr>
        <w:fldChar w:fldCharType="separate"/>
      </w:r>
      <w:r w:rsidRPr="005647CA">
        <w:rPr>
          <w:szCs w:val="20"/>
          <w:lang w:val="es-ES_tradnl"/>
        </w:rPr>
        <w:t>Rohrbeck (2010)</w:t>
      </w:r>
      <w:r w:rsidRPr="005647CA">
        <w:rPr>
          <w:szCs w:val="20"/>
          <w:lang w:val="es-ES_tradnl"/>
        </w:rPr>
        <w:fldChar w:fldCharType="end"/>
      </w:r>
      <w:r w:rsidRPr="005647CA">
        <w:rPr>
          <w:szCs w:val="20"/>
          <w:lang w:val="es-ES_tradnl"/>
        </w:rPr>
        <w:t xml:space="preserve"> que define a la prospectiva tecnológica como la habilidad que tiene una organización para detectar cambios discontinuos de forma temprana, interpretar sus conciencias y formular respuestas efectivas que ayuden a la supervivencia de la empresa a largo plazo. </w:t>
      </w:r>
    </w:p>
    <w:p w14:paraId="1A1D5A00" w14:textId="0BA1AE8B" w:rsidR="005647CA" w:rsidRPr="00791128" w:rsidRDefault="005647CA" w:rsidP="00791128">
      <w:pPr>
        <w:spacing w:line="360" w:lineRule="auto"/>
        <w:ind w:firstLine="708"/>
        <w:jc w:val="both"/>
        <w:rPr>
          <w:szCs w:val="20"/>
          <w:lang w:val="es-ES_tradnl"/>
        </w:rPr>
      </w:pPr>
      <w:r w:rsidRPr="005647CA">
        <w:rPr>
          <w:szCs w:val="20"/>
          <w:lang w:val="es-ES_tradnl"/>
        </w:rPr>
        <w:t xml:space="preserve">El objetivo principal de la prospectiva tecnológica es apoyar los nuevos desarrollos en las áreas de ciencia y tecnología, reconociendo con prontitud los beneficios de éstos desarrollos ya sea para una nación o una organización </w:t>
      </w:r>
      <w:r w:rsidRPr="005647CA">
        <w:rPr>
          <w:szCs w:val="20"/>
          <w:lang w:val="es-ES_tradnl"/>
        </w:rPr>
        <w:fldChar w:fldCharType="begin"/>
      </w:r>
      <w:r w:rsidRPr="005647CA">
        <w:rPr>
          <w:szCs w:val="20"/>
          <w:lang w:val="es-ES_tradnl"/>
        </w:rPr>
        <w:instrText xml:space="preserve"> ADDIN EN.CITE &lt;EndNote&gt;&lt;Cite&gt;&lt;Author&gt;Becker&lt;/Author&gt;&lt;Year&gt;2002&lt;/Year&gt;&lt;RecNum&gt;35&lt;/RecNum&gt;&lt;DisplayText&gt;(Becker, 2002)&lt;/DisplayText&gt;&lt;record&gt;&lt;rec-number&gt;35&lt;/rec-number&gt;&lt;foreign-keys&gt;&lt;key app="EN" db-id="xzeaxr220pp5w7eap54pxr5dazzat5fe2xae" timestamp="1523592424"&gt;35&lt;/key&gt;&lt;key app="ENWeb" db-id=""&gt;0&lt;/key&gt;&lt;/foreign-keys&gt;&lt;ref-type name="Report"&gt;27&lt;/ref-type&gt;&lt;contributors&gt;&lt;authors&gt;&lt;author&gt;Patrick Becker&lt;/author&gt;&lt;/authors&gt;&lt;subsidiary-authors&gt;&lt;author&gt;Directorate-General for Research of the European Commission&lt;/author&gt;&lt;/subsidiary-authors&gt;&lt;/contributors&gt;&lt;titles&gt;&lt;title&gt;Corporate Foresight in Europe&lt;/title&gt;&lt;/titles&gt;&lt;number&gt;082&lt;/number&gt;&lt;keywords&gt;&lt;keyword&gt;Forecast&lt;/keyword&gt;&lt;keyword&gt;Foresigth&lt;/keyword&gt;&lt;/keywords&gt;&lt;dates&gt;&lt;year&gt;2002&lt;/year&gt;&lt;/dates&gt;&lt;publisher&gt;The European Foresight Monitoring Network&lt;/publisher&gt;&lt;urls&gt;&lt;related-urls&gt;&lt;url&gt;http://www.foresight-platform.eu/wp-content/uploads/2011/04/EFMN-Brief-No.-82-Corporate-Foresight-in-Europe.pdf&lt;/url&gt;&lt;/related-urls&gt;&lt;/urls&gt;&lt;/record&gt;&lt;/Cite&gt;&lt;/EndNote&gt;</w:instrText>
      </w:r>
      <w:r w:rsidRPr="005647CA">
        <w:rPr>
          <w:szCs w:val="20"/>
          <w:lang w:val="es-ES_tradnl"/>
        </w:rPr>
        <w:fldChar w:fldCharType="separate"/>
      </w:r>
      <w:r w:rsidRPr="005647CA">
        <w:rPr>
          <w:szCs w:val="20"/>
          <w:lang w:val="es-ES_tradnl"/>
        </w:rPr>
        <w:t>(Becker, 2002)</w:t>
      </w:r>
      <w:r w:rsidRPr="005647CA">
        <w:rPr>
          <w:szCs w:val="20"/>
          <w:lang w:val="es-ES_tradnl"/>
        </w:rPr>
        <w:fldChar w:fldCharType="end"/>
      </w:r>
      <w:r w:rsidRPr="005647CA">
        <w:rPr>
          <w:szCs w:val="20"/>
          <w:lang w:val="es-ES_tradnl"/>
        </w:rPr>
        <w:t>. Aunque la prospectiva tecnológica en las organizaciones comparte este objetivo en común, de acuerdo a Martin (1995) las empresas normalmente se centran en una de estas funciones intermedias:</w:t>
      </w:r>
      <w:r w:rsidR="00791128">
        <w:rPr>
          <w:szCs w:val="20"/>
          <w:lang w:val="es-ES_tradnl"/>
        </w:rPr>
        <w:t xml:space="preserve"> </w:t>
      </w:r>
      <w:r w:rsidRPr="00791128">
        <w:rPr>
          <w:lang w:val="es-ES_tradnl"/>
        </w:rPr>
        <w:t>Inteligencia anticipatoria</w:t>
      </w:r>
      <w:r w:rsidR="00791128">
        <w:rPr>
          <w:lang w:val="es-ES_tradnl"/>
        </w:rPr>
        <w:t>, a</w:t>
      </w:r>
      <w:r w:rsidRPr="00791128">
        <w:rPr>
          <w:lang w:val="es-ES_tradnl"/>
        </w:rPr>
        <w:t>juste de dirección (</w:t>
      </w:r>
      <w:proofErr w:type="spellStart"/>
      <w:r w:rsidRPr="00791128">
        <w:rPr>
          <w:lang w:val="es-ES_tradnl"/>
        </w:rPr>
        <w:t>Direction-setting</w:t>
      </w:r>
      <w:proofErr w:type="spellEnd"/>
      <w:r w:rsidRPr="00791128">
        <w:rPr>
          <w:lang w:val="es-ES_tradnl"/>
        </w:rPr>
        <w:t>)</w:t>
      </w:r>
      <w:r w:rsidR="00791128">
        <w:rPr>
          <w:lang w:val="es-ES_tradnl"/>
        </w:rPr>
        <w:t xml:space="preserve"> y f</w:t>
      </w:r>
      <w:r w:rsidRPr="00791128">
        <w:rPr>
          <w:lang w:val="es-ES_tradnl"/>
        </w:rPr>
        <w:t xml:space="preserve">ormulación de estrategias e implementación. </w:t>
      </w:r>
    </w:p>
    <w:p w14:paraId="26A633D7" w14:textId="77777777" w:rsidR="005647CA" w:rsidRPr="005647CA" w:rsidRDefault="005647CA" w:rsidP="005647CA">
      <w:pPr>
        <w:spacing w:line="360" w:lineRule="auto"/>
        <w:jc w:val="both"/>
        <w:rPr>
          <w:szCs w:val="20"/>
          <w:lang w:val="es-ES_tradnl"/>
        </w:rPr>
      </w:pPr>
    </w:p>
    <w:p w14:paraId="23810E5B" w14:textId="701726BD" w:rsidR="005647CA" w:rsidRPr="005647CA" w:rsidRDefault="005647CA" w:rsidP="005647CA">
      <w:pPr>
        <w:spacing w:line="360" w:lineRule="auto"/>
        <w:jc w:val="both"/>
        <w:rPr>
          <w:sz w:val="28"/>
          <w:szCs w:val="28"/>
          <w:lang w:val="es-ES_tradnl"/>
        </w:rPr>
      </w:pPr>
      <w:r w:rsidRPr="005647CA">
        <w:rPr>
          <w:sz w:val="28"/>
          <w:szCs w:val="28"/>
          <w:lang w:val="es-ES_tradnl"/>
        </w:rPr>
        <w:t>2.2 La prospectiva tecnológica dentro de las organizaciones</w:t>
      </w:r>
    </w:p>
    <w:p w14:paraId="29108A82" w14:textId="77777777" w:rsidR="005647CA" w:rsidRPr="005647CA" w:rsidRDefault="005647CA" w:rsidP="005647CA">
      <w:pPr>
        <w:spacing w:line="360" w:lineRule="auto"/>
        <w:jc w:val="both"/>
        <w:rPr>
          <w:szCs w:val="20"/>
          <w:lang w:val="es-ES_tradnl"/>
        </w:rPr>
      </w:pPr>
      <w:r w:rsidRPr="005647CA">
        <w:rPr>
          <w:szCs w:val="20"/>
          <w:lang w:val="es-ES_tradnl"/>
        </w:rPr>
        <w:lastRenderedPageBreak/>
        <w:t xml:space="preserve">En las organizaciones la prospectiva tecnológica no es una actividad estructurada y sistemática, por lo tanto no existen actividades plenamente definidas que en su conjunto construyan el concepto de prospectiva tecnológica. Sin embargo, </w:t>
      </w:r>
      <w:r w:rsidRPr="005647CA">
        <w:rPr>
          <w:szCs w:val="20"/>
          <w:lang w:val="es-ES_tradnl"/>
        </w:rPr>
        <w:fldChar w:fldCharType="begin"/>
      </w:r>
      <w:r w:rsidRPr="005647CA">
        <w:rPr>
          <w:szCs w:val="20"/>
          <w:lang w:val="es-ES_tradnl"/>
        </w:rPr>
        <w:instrText xml:space="preserve"> ADDIN EN.CITE &lt;EndNote&gt;&lt;Cite AuthorYear="1"&gt;&lt;Author&gt;Reger&lt;/Author&gt;&lt;Year&gt;2001&lt;/Year&gt;&lt;RecNum&gt;50&lt;/RecNum&gt;&lt;DisplayText&gt;Reger (2001)&lt;/DisplayText&gt;&lt;record&gt;&lt;rec-number&gt;50&lt;/rec-number&gt;&lt;foreign-keys&gt;&lt;key app="EN" db-id="xzeaxr220pp5w7eap54pxr5dazzat5fe2xae" timestamp="1523592501"&gt;50&lt;/key&gt;&lt;key app="ENWeb" db-id=""&gt;0&lt;/key&gt;&lt;/foreign-keys&gt;&lt;ref-type name="Journal Article"&gt;17&lt;/ref-type&gt;&lt;contributors&gt;&lt;authors&gt;&lt;author&gt;Guido Reger&lt;/author&gt;&lt;/authors&gt;&lt;/contributors&gt;&lt;titles&gt;&lt;title&gt;Technology Foresight in Companies: From an Indicator to a Network and Process Perspective&lt;/title&gt;&lt;secondary-title&gt;Technology Analysis &amp;amp; Strategic Management&lt;/secondary-title&gt;&lt;/titles&gt;&lt;periodical&gt;&lt;full-title&gt;Technology Analysis &amp;amp; Strategic Management&lt;/full-title&gt;&lt;/periodical&gt;&lt;pages&gt;533-553&lt;/pages&gt;&lt;volume&gt;13&lt;/volume&gt;&lt;number&gt;4&lt;/number&gt;&lt;keywords&gt;&lt;keyword&gt;Technology Foresight&lt;/keyword&gt;&lt;/keywords&gt;&lt;dates&gt;&lt;year&gt;2001&lt;/year&gt;&lt;/dates&gt;&lt;urls&gt;&lt;/urls&gt;&lt;electronic-resource-num&gt;10.1080/09537320127286&lt;/electronic-resource-num&gt;&lt;/record&gt;&lt;/Cite&gt;&lt;/EndNote&gt;</w:instrText>
      </w:r>
      <w:r w:rsidRPr="005647CA">
        <w:rPr>
          <w:szCs w:val="20"/>
          <w:lang w:val="es-ES_tradnl"/>
        </w:rPr>
        <w:fldChar w:fldCharType="separate"/>
      </w:r>
      <w:r w:rsidRPr="005647CA">
        <w:rPr>
          <w:szCs w:val="20"/>
          <w:lang w:val="es-ES_tradnl"/>
        </w:rPr>
        <w:t>Reger (2001)</w:t>
      </w:r>
      <w:r w:rsidRPr="005647CA">
        <w:rPr>
          <w:szCs w:val="20"/>
          <w:lang w:val="es-ES_tradnl"/>
        </w:rPr>
        <w:fldChar w:fldCharType="end"/>
      </w:r>
      <w:r w:rsidRPr="005647CA">
        <w:rPr>
          <w:szCs w:val="20"/>
          <w:lang w:val="es-ES_tradnl"/>
        </w:rPr>
        <w:t xml:space="preserve"> logró identificar algunas fases comunes entre las diferentes organizaciones. </w:t>
      </w:r>
    </w:p>
    <w:p w14:paraId="7A9E61B5" w14:textId="77777777" w:rsidR="005647CA" w:rsidRPr="005647CA" w:rsidRDefault="005647CA" w:rsidP="005647CA">
      <w:pPr>
        <w:spacing w:line="360" w:lineRule="auto"/>
        <w:jc w:val="both"/>
        <w:rPr>
          <w:szCs w:val="20"/>
          <w:lang w:val="es-ES_tradnl"/>
        </w:rPr>
      </w:pPr>
    </w:p>
    <w:p w14:paraId="29175DB5" w14:textId="77777777" w:rsidR="005647CA" w:rsidRPr="005647CA" w:rsidRDefault="005647CA" w:rsidP="005647CA">
      <w:pPr>
        <w:spacing w:line="360" w:lineRule="auto"/>
        <w:jc w:val="both"/>
        <w:rPr>
          <w:szCs w:val="20"/>
          <w:lang w:val="es-ES_tradnl"/>
        </w:rPr>
      </w:pPr>
      <w:r w:rsidRPr="005647CA">
        <w:rPr>
          <w:szCs w:val="20"/>
          <w:lang w:val="es-ES_tradnl"/>
        </w:rPr>
        <w:t>Determinación de las necesidades de información y selección del área de búsqueda.</w:t>
      </w:r>
    </w:p>
    <w:p w14:paraId="22A422BD" w14:textId="541FD191" w:rsidR="005647CA" w:rsidRPr="005647CA" w:rsidRDefault="005647CA" w:rsidP="005647CA">
      <w:pPr>
        <w:spacing w:line="360" w:lineRule="auto"/>
        <w:jc w:val="both"/>
        <w:rPr>
          <w:szCs w:val="20"/>
          <w:lang w:val="es-ES_tradnl"/>
        </w:rPr>
      </w:pPr>
      <w:r w:rsidRPr="005647CA">
        <w:rPr>
          <w:szCs w:val="20"/>
          <w:lang w:val="es-ES_tradnl"/>
        </w:rPr>
        <w:t>Esta fase se puede abordar por medio de dos perspectivas. La primera es la perspectiva “</w:t>
      </w:r>
      <w:proofErr w:type="spellStart"/>
      <w:r w:rsidRPr="005647CA">
        <w:rPr>
          <w:szCs w:val="20"/>
          <w:lang w:val="es-ES_tradnl"/>
        </w:rPr>
        <w:t>inside-out</w:t>
      </w:r>
      <w:proofErr w:type="spellEnd"/>
      <w:r w:rsidRPr="005647CA">
        <w:rPr>
          <w:szCs w:val="20"/>
          <w:lang w:val="es-ES_tradnl"/>
        </w:rPr>
        <w:t>” en dónde se delimita el área de observación de acuerdo a al dominio tecnológico de la empresa. La segunda perspectiva se denomina “</w:t>
      </w:r>
      <w:proofErr w:type="spellStart"/>
      <w:r w:rsidRPr="005647CA">
        <w:rPr>
          <w:szCs w:val="20"/>
          <w:lang w:val="es-ES_tradnl"/>
        </w:rPr>
        <w:t>outside</w:t>
      </w:r>
      <w:proofErr w:type="spellEnd"/>
      <w:r w:rsidRPr="005647CA">
        <w:rPr>
          <w:szCs w:val="20"/>
          <w:lang w:val="es-ES_tradnl"/>
        </w:rPr>
        <w:t>-in” en donde no se delimita el área de observación y se busca cualquier tecnología potencial que sirva a la organización, posteriormente se evalúan los resultados de acuerdo a su relevancia</w:t>
      </w:r>
      <w:r w:rsidR="00791128">
        <w:rPr>
          <w:szCs w:val="20"/>
          <w:lang w:val="es-ES_tradnl"/>
        </w:rPr>
        <w:t xml:space="preserve"> </w:t>
      </w:r>
      <w:r w:rsidRPr="005647CA">
        <w:rPr>
          <w:szCs w:val="20"/>
          <w:lang w:val="es-ES_tradnl"/>
        </w:rPr>
        <w:fldChar w:fldCharType="begin"/>
      </w:r>
      <w:r w:rsidRPr="005647CA">
        <w:rPr>
          <w:szCs w:val="20"/>
          <w:lang w:val="es-ES_tradnl"/>
        </w:rPr>
        <w:instrText xml:space="preserve"> ADDIN EN.CITE &lt;EndNote&gt;&lt;Cite&gt;&lt;Author&gt;Semke&lt;/Author&gt;&lt;Year&gt;2020&lt;/Year&gt;&lt;RecNum&gt;442&lt;/RecNum&gt;&lt;DisplayText&gt;(Semke &amp;amp; Tiberius, 2020)&lt;/DisplayText&gt;&lt;record&gt;&lt;rec-number&gt;442&lt;/rec-number&gt;&lt;foreign-keys&gt;&lt;key app="EN" db-id="xzeaxr220pp5w7eap54pxr5dazzat5fe2xae" timestamp="1627426902"&gt;442&lt;/key&gt;&lt;/foreign-keys&gt;&lt;ref-type name="Journal Article"&gt;17&lt;/ref-type&gt;&lt;contributors&gt;&lt;authors&gt;&lt;author&gt;Semke, Lisa-Marie&lt;/author&gt;&lt;author&gt;Tiberius, Victor&lt;/author&gt;&lt;/authors&gt;&lt;/contributors&gt;&lt;titles&gt;&lt;title&gt;Corporate Foresight and Dynamic Capabilities: An Exploratory Study&lt;/title&gt;&lt;secondary-title&gt;Forecasting&lt;/secondary-title&gt;&lt;/titles&gt;&lt;periodical&gt;&lt;full-title&gt;Forecasting&lt;/full-title&gt;&lt;/periodical&gt;&lt;pages&gt;180-193&lt;/pages&gt;&lt;volume&gt;2&lt;/volume&gt;&lt;number&gt;2&lt;/number&gt;&lt;dates&gt;&lt;year&gt;2020&lt;/year&gt;&lt;/dates&gt;&lt;isbn&gt;2571-9394&lt;/isbn&gt;&lt;accession-num&gt;doi:10.3390/forecast2020010&lt;/accession-num&gt;&lt;urls&gt;&lt;related-urls&gt;&lt;url&gt;https://www.mdpi.com/2571-9394/2/2/10&lt;/url&gt;&lt;/related-urls&gt;&lt;/urls&gt;&lt;/record&gt;&lt;/Cite&gt;&lt;/EndNote&gt;</w:instrText>
      </w:r>
      <w:r w:rsidRPr="005647CA">
        <w:rPr>
          <w:szCs w:val="20"/>
          <w:lang w:val="es-ES_tradnl"/>
        </w:rPr>
        <w:fldChar w:fldCharType="separate"/>
      </w:r>
      <w:r w:rsidRPr="005647CA">
        <w:rPr>
          <w:szCs w:val="20"/>
          <w:lang w:val="es-ES_tradnl"/>
        </w:rPr>
        <w:t>(Semke &amp; Tiberius, 2020)</w:t>
      </w:r>
      <w:r w:rsidRPr="005647CA">
        <w:rPr>
          <w:szCs w:val="20"/>
          <w:lang w:val="es-ES_tradnl"/>
        </w:rPr>
        <w:fldChar w:fldCharType="end"/>
      </w:r>
      <w:r w:rsidR="00791128">
        <w:rPr>
          <w:szCs w:val="20"/>
          <w:lang w:val="es-ES_tradnl"/>
        </w:rPr>
        <w:t>.</w:t>
      </w:r>
    </w:p>
    <w:p w14:paraId="687F6EF2" w14:textId="77777777" w:rsidR="00791128" w:rsidRPr="005647CA" w:rsidRDefault="00791128" w:rsidP="005647CA">
      <w:pPr>
        <w:spacing w:line="360" w:lineRule="auto"/>
        <w:jc w:val="both"/>
        <w:rPr>
          <w:szCs w:val="20"/>
          <w:lang w:val="es-ES_tradnl"/>
        </w:rPr>
      </w:pPr>
    </w:p>
    <w:p w14:paraId="04C40180" w14:textId="15297183" w:rsidR="005647CA" w:rsidRPr="00791128" w:rsidRDefault="005647CA" w:rsidP="005647CA">
      <w:pPr>
        <w:spacing w:line="360" w:lineRule="auto"/>
        <w:jc w:val="both"/>
        <w:rPr>
          <w:sz w:val="28"/>
          <w:szCs w:val="28"/>
          <w:lang w:val="es-ES_tradnl"/>
        </w:rPr>
      </w:pPr>
      <w:r w:rsidRPr="005647CA">
        <w:rPr>
          <w:sz w:val="28"/>
          <w:szCs w:val="28"/>
          <w:lang w:val="es-ES_tradnl"/>
        </w:rPr>
        <w:t>2.</w:t>
      </w:r>
      <w:r w:rsidR="00791128">
        <w:rPr>
          <w:sz w:val="28"/>
          <w:szCs w:val="28"/>
          <w:lang w:val="es-ES_tradnl"/>
        </w:rPr>
        <w:t>3</w:t>
      </w:r>
      <w:r w:rsidRPr="005647CA">
        <w:rPr>
          <w:sz w:val="28"/>
          <w:szCs w:val="28"/>
          <w:lang w:val="es-ES_tradnl"/>
        </w:rPr>
        <w:t xml:space="preserve"> Perspectiva de las capacidades dinámicas</w:t>
      </w:r>
    </w:p>
    <w:p w14:paraId="6E7A372E" w14:textId="6682D38B" w:rsidR="005647CA" w:rsidRPr="005647CA" w:rsidRDefault="005647CA" w:rsidP="005647CA">
      <w:pPr>
        <w:spacing w:line="360" w:lineRule="auto"/>
        <w:jc w:val="both"/>
        <w:rPr>
          <w:szCs w:val="20"/>
          <w:lang w:val="es-ES_tradnl"/>
        </w:rPr>
      </w:pPr>
      <w:r w:rsidRPr="005647CA">
        <w:rPr>
          <w:szCs w:val="20"/>
          <w:lang w:val="es-ES_tradnl"/>
        </w:rPr>
        <w:t xml:space="preserve">El enfoque basado en recursos (RBV por sus siglas en ingles) propone que la ventaja competitiva se obtiene principalmente por contar con recursos valiosos, raros, inimitables y no sustituibles. El RBV ayuda a explicar de una manera general como una empresa logra obtener una ventaja competitiva. Sin embargo la teoría de este enfoque no es capaz de explicar en detalle como una empresa puede obtener una ventaja competitiva en un ambiente dinámico </w:t>
      </w:r>
      <w:r w:rsidRPr="005647CA">
        <w:rPr>
          <w:szCs w:val="20"/>
          <w:lang w:val="es-ES_tradnl"/>
        </w:rPr>
        <w:fldChar w:fldCharType="begin"/>
      </w:r>
      <w:r w:rsidRPr="005647CA">
        <w:rPr>
          <w:szCs w:val="20"/>
          <w:lang w:val="es-ES_tradnl"/>
        </w:rPr>
        <w:instrText xml:space="preserve"> ADDIN EN.CITE &lt;EndNote&gt;&lt;Cite&gt;&lt;Author&gt;Eisenhardt&lt;/Author&gt;&lt;Year&gt;2000&lt;/Year&gt;&lt;RecNum&gt;2&lt;/RecNum&gt;&lt;DisplayText&gt;(Eisenhardt &amp;amp; Martin, 2000)&lt;/DisplayText&gt;&lt;record&gt;&lt;rec-number&gt;2&lt;/rec-number&gt;&lt;foreign-keys&gt;&lt;key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capablities&lt;/keyword&gt;&lt;/keywords&gt;&lt;dates&gt;&lt;year&gt;2000&lt;/year&gt;&lt;/dates&gt;&lt;urls&gt;&lt;/urls&gt;&lt;/record&gt;&lt;/Cite&gt;&lt;/EndNote&gt;</w:instrText>
      </w:r>
      <w:r w:rsidRPr="005647CA">
        <w:rPr>
          <w:szCs w:val="20"/>
          <w:lang w:val="es-ES_tradnl"/>
        </w:rPr>
        <w:fldChar w:fldCharType="separate"/>
      </w:r>
      <w:r w:rsidRPr="005647CA">
        <w:rPr>
          <w:szCs w:val="20"/>
          <w:lang w:val="es-ES_tradnl"/>
        </w:rPr>
        <w:t>(Eisenhardt &amp; Martin, 2000)</w:t>
      </w:r>
      <w:r w:rsidRPr="005647CA">
        <w:rPr>
          <w:szCs w:val="20"/>
          <w:lang w:val="es-ES_tradnl"/>
        </w:rPr>
        <w:fldChar w:fldCharType="end"/>
      </w:r>
      <w:r w:rsidRPr="005647CA">
        <w:rPr>
          <w:szCs w:val="20"/>
          <w:lang w:val="es-ES_tradnl"/>
        </w:rPr>
        <w:t xml:space="preserve">. Debido a que los recursos están basados en el contexto de las organizaciones, su valor depende de las características del entorno. Sin embargo, debido a que los recursos son menos dinámicos que el entorno, es común que estos queden rezagados en comparación con el entorno de la organización </w:t>
      </w:r>
      <w:r w:rsidRPr="005647CA">
        <w:rPr>
          <w:szCs w:val="20"/>
          <w:lang w:val="es-ES_tradnl"/>
        </w:rPr>
        <w:fldChar w:fldCharType="begin"/>
      </w:r>
      <w:r w:rsidRPr="005647CA">
        <w:rPr>
          <w:szCs w:val="20"/>
          <w:lang w:val="es-ES_tradnl"/>
        </w:rPr>
        <w:instrText xml:space="preserve"> ADDIN EN.CITE &lt;EndNote&gt;&lt;Cite&gt;&lt;Author&gt;Teece&lt;/Author&gt;&lt;Year&gt;1997&lt;/Year&gt;&lt;RecNum&gt;17&lt;/RecNum&gt;&lt;DisplayText&gt;(Teece, 2017; Teece, Pisano, &amp;amp; Shuen, 1997)&lt;/DisplayText&gt;&lt;record&gt;&lt;rec-number&gt;17&lt;/rec-number&gt;&lt;foreign-keys&gt;&lt;key app="EN" db-id="xzeaxr220pp5w7eap54pxr5dazzat5fe2xae" timestamp="1523592285"&gt;17&lt;/key&gt;&lt;key app="ENWeb" db-id=""&gt;0&lt;/key&gt;&lt;/foreign-keys&gt;&lt;ref-type name="Journal Article"&gt;17&lt;/ref-type&gt;&lt;contributors&gt;&lt;authors&gt;&lt;author&gt;Teece, David J.&lt;/author&gt;&lt;author&gt;Pisano, Gary&lt;/author&gt;&lt;author&gt;Shuen, Amy&lt;/author&gt;&lt;/authors&gt;&lt;/contributors&gt;&lt;titles&gt;&lt;title&gt;Dynamic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Journal&lt;/full-title&gt;&lt;/periodical&gt;&lt;pages&gt;509-533&lt;/pages&gt;&lt;volume&gt;18&lt;/volume&gt;&lt;number&gt;7&lt;/number&gt;&lt;keywords&gt;&lt;keyword&gt;dynamic capabilities&lt;/keyword&gt;&lt;/keywords&gt;&lt;dates&gt;&lt;year&gt;1997&lt;/year&gt;&lt;/dates&gt;&lt;urls&gt;&lt;/urls&gt;&lt;/record&gt;&lt;/Cite&gt;&lt;Cite&gt;&lt;Author&gt;Teece&lt;/Author&gt;&lt;Year&gt;2017&lt;/Year&gt;&lt;RecNum&gt;54&lt;/RecNum&gt;&lt;record&gt;&lt;rec-number&gt;54&lt;/rec-number&gt;&lt;foreign-keys&gt;&lt;key app="EN" db-id="xzeaxr220pp5w7eap54pxr5dazzat5fe2xae" timestamp="1523592518"&gt;54&lt;/key&gt;&lt;/foreign-keys&gt;&lt;ref-type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Planning&lt;/full-title&gt;&lt;/periodical&gt;&lt;keywords&gt;&lt;keyword&gt;Dynamic capabilities&lt;/keyword&gt;&lt;keyword&gt;Business model design&lt;/keyword&gt;&lt;keyword&gt;Organizational design&lt;/keyword&gt;&lt;keyword&gt;Strategy&lt;/keyword&gt;&lt;keyword&gt;Intellectual property&lt;/keyword&gt;&lt;/keywords&gt;&lt;dates&gt;&lt;year&gt;2017&lt;/year&gt;&lt;pub-dates&gt;&lt;date&gt;2017/07/23/&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Pr="005647CA">
        <w:rPr>
          <w:szCs w:val="20"/>
          <w:lang w:val="es-ES_tradnl"/>
        </w:rPr>
        <w:fldChar w:fldCharType="separate"/>
      </w:r>
      <w:r w:rsidRPr="005647CA">
        <w:rPr>
          <w:szCs w:val="20"/>
          <w:lang w:val="es-ES_tradnl"/>
        </w:rPr>
        <w:t>(Teece, 2017; Teece, Pisano, &amp; Shuen, 1997)</w:t>
      </w:r>
      <w:r w:rsidRPr="005647CA">
        <w:rPr>
          <w:szCs w:val="20"/>
          <w:lang w:val="es-ES_tradnl"/>
        </w:rPr>
        <w:fldChar w:fldCharType="end"/>
      </w:r>
      <w:r w:rsidR="00791128">
        <w:rPr>
          <w:szCs w:val="20"/>
          <w:lang w:val="es-ES_tradnl"/>
        </w:rPr>
        <w:t>.</w:t>
      </w:r>
    </w:p>
    <w:p w14:paraId="48D6F123" w14:textId="55930D93" w:rsidR="005647CA" w:rsidRDefault="005647CA" w:rsidP="00791128">
      <w:pPr>
        <w:spacing w:line="360" w:lineRule="auto"/>
        <w:ind w:firstLine="708"/>
        <w:jc w:val="both"/>
        <w:rPr>
          <w:szCs w:val="20"/>
          <w:lang w:val="es-ES_tradnl"/>
        </w:rPr>
      </w:pPr>
      <w:r w:rsidRPr="005647CA">
        <w:rPr>
          <w:szCs w:val="20"/>
          <w:lang w:val="es-ES_tradnl"/>
        </w:rPr>
        <w:t xml:space="preserve">Para poder explicar como lograr una ventaja competitiva en un ambiente dinámico, los académicos han complementado el RBV con la perspectiva de la capacidad dinámica, destacando el papel de las capacidades para integrar, construir y reconfigurar las competencias internas y externas </w:t>
      </w:r>
      <w:r w:rsidRPr="005647CA">
        <w:rPr>
          <w:szCs w:val="20"/>
          <w:lang w:val="es-ES_tradnl"/>
        </w:rPr>
        <w:fldChar w:fldCharType="begin"/>
      </w:r>
      <w:r w:rsidRPr="005647CA">
        <w:rPr>
          <w:szCs w:val="20"/>
          <w:lang w:val="es-ES_tradnl"/>
        </w:rPr>
        <w:instrText xml:space="preserve"> ADDIN EN.CITE &lt;EndNote&gt;&lt;Cite&gt;&lt;Author&gt;Teece&lt;/Author&gt;&lt;Year&gt;2017&lt;/Year&gt;&lt;RecNum&gt;54&lt;/RecNum&gt;&lt;DisplayText&gt;(Teece, 2017)&lt;/DisplayText&gt;&lt;record&gt;&lt;rec-number&gt;54&lt;/rec-number&gt;&lt;foreign-keys&gt;&lt;key app="EN" db-id="xzeaxr220pp5w7eap54pxr5dazzat5fe2xae" timestamp="1523592518"&gt;54&lt;/key&gt;&lt;/foreign-keys&gt;&lt;ref-type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Planning&lt;/full-title&gt;&lt;/periodical&gt;&lt;keywords&gt;&lt;keyword&gt;Dynamic capabilities&lt;/keyword&gt;&lt;keyword&gt;Business model design&lt;/keyword&gt;&lt;keyword&gt;Organizational design&lt;/keyword&gt;&lt;keyword&gt;Strategy&lt;/keyword&gt;&lt;keyword&gt;Intellectual property&lt;/keyword&gt;&lt;/keywords&gt;&lt;dates&gt;&lt;year&gt;2017&lt;/year&gt;&lt;pub-dates&gt;&lt;date&gt;2017/07/23/&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Pr="005647CA">
        <w:rPr>
          <w:szCs w:val="20"/>
          <w:lang w:val="es-ES_tradnl"/>
        </w:rPr>
        <w:fldChar w:fldCharType="separate"/>
      </w:r>
      <w:r w:rsidRPr="005647CA">
        <w:rPr>
          <w:szCs w:val="20"/>
          <w:lang w:val="es-ES_tradnl"/>
        </w:rPr>
        <w:t>(Teece, 2017)</w:t>
      </w:r>
      <w:r w:rsidRPr="005647CA">
        <w:rPr>
          <w:szCs w:val="20"/>
          <w:lang w:val="es-ES_tradnl"/>
        </w:rPr>
        <w:fldChar w:fldCharType="end"/>
      </w:r>
      <w:r w:rsidRPr="005647CA">
        <w:rPr>
          <w:szCs w:val="20"/>
          <w:lang w:val="es-ES_tradnl"/>
        </w:rPr>
        <w:t xml:space="preserve">. Desde esta perspectiva, las empresas deben adaptar, integrar y reconfigurar constantemente sus recursos y competencias para responder de manera rápida a un entorno dinámico. Sin embargo, los procesos y rutinas organizacionales arraigadas, desarrolladas a partir de trayectorias </w:t>
      </w:r>
      <w:r w:rsidRPr="005647CA">
        <w:rPr>
          <w:szCs w:val="20"/>
          <w:lang w:val="es-ES_tradnl"/>
        </w:rPr>
        <w:lastRenderedPageBreak/>
        <w:t xml:space="preserve">anteriores o de la trayectoria de asignación de recursos y desarrollo de competencias, limitan esos cambios o adaptaciones </w:t>
      </w:r>
      <w:r w:rsidRPr="005647CA">
        <w:rPr>
          <w:szCs w:val="20"/>
          <w:lang w:val="es-ES_tradnl"/>
        </w:rPr>
        <w:fldChar w:fldCharType="begin"/>
      </w:r>
      <w:r w:rsidRPr="005647CA">
        <w:rPr>
          <w:szCs w:val="20"/>
          <w:lang w:val="es-ES_tradnl"/>
        </w:rPr>
        <w:instrText xml:space="preserve"> ADDIN EN.CITE &lt;EndNote&gt;&lt;Cite&gt;&lt;Author&gt;Teece&lt;/Author&gt;&lt;Year&gt;1997&lt;/Year&gt;&lt;RecNum&gt;17&lt;/RecNum&gt;&lt;DisplayText&gt;(Teece et al., 1997)&lt;/DisplayText&gt;&lt;record&gt;&lt;rec-number&gt;17&lt;/rec-number&gt;&lt;foreign-keys&gt;&lt;key app="EN" db-id="xzeaxr220pp5w7eap54pxr5dazzat5fe2xae" timestamp="1523592285"&gt;17&lt;/key&gt;&lt;key app="ENWeb" db-id=""&gt;0&lt;/key&gt;&lt;/foreign-keys&gt;&lt;ref-type name="Journal Article"&gt;17&lt;/ref-type&gt;&lt;contributors&gt;&lt;authors&gt;&lt;author&gt;Teece, David J.&lt;/author&gt;&lt;author&gt;Pisano, Gary&lt;/author&gt;&lt;author&gt;Shuen, Amy&lt;/author&gt;&lt;/authors&gt;&lt;/contributors&gt;&lt;titles&gt;&lt;title&gt;Dynamic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Journal&lt;/full-title&gt;&lt;/periodical&gt;&lt;pages&gt;509-533&lt;/pages&gt;&lt;volume&gt;18&lt;/volume&gt;&lt;number&gt;7&lt;/number&gt;&lt;keywords&gt;&lt;keyword&gt;dynamic capabilities&lt;/keyword&gt;&lt;/keywords&gt;&lt;dates&gt;&lt;year&gt;1997&lt;/year&gt;&lt;/dates&gt;&lt;urls&gt;&lt;/urls&gt;&lt;/record&gt;&lt;/Cite&gt;&lt;/EndNote&gt;</w:instrText>
      </w:r>
      <w:r w:rsidRPr="005647CA">
        <w:rPr>
          <w:szCs w:val="20"/>
          <w:lang w:val="es-ES_tradnl"/>
        </w:rPr>
        <w:fldChar w:fldCharType="separate"/>
      </w:r>
      <w:r w:rsidRPr="005647CA">
        <w:rPr>
          <w:szCs w:val="20"/>
          <w:lang w:val="es-ES_tradnl"/>
        </w:rPr>
        <w:t>(Teece et al., 1997)</w:t>
      </w:r>
      <w:r w:rsidRPr="005647CA">
        <w:rPr>
          <w:szCs w:val="20"/>
          <w:lang w:val="es-ES_tradnl"/>
        </w:rPr>
        <w:fldChar w:fldCharType="end"/>
      </w:r>
      <w:r w:rsidRPr="005647CA">
        <w:rPr>
          <w:szCs w:val="20"/>
          <w:lang w:val="es-ES_tradnl"/>
        </w:rPr>
        <w:t xml:space="preserve">. De igual forma, </w:t>
      </w:r>
      <w:r w:rsidRPr="005647CA">
        <w:rPr>
          <w:szCs w:val="20"/>
          <w:lang w:val="es-ES_tradnl"/>
        </w:rPr>
        <w:fldChar w:fldCharType="begin"/>
      </w:r>
      <w:r w:rsidRPr="005647CA">
        <w:rPr>
          <w:szCs w:val="20"/>
          <w:lang w:val="es-ES_tradnl"/>
        </w:rPr>
        <w:instrText xml:space="preserve"> ADDIN EN.CITE &lt;EndNote&gt;&lt;Cite AuthorYear="1"&gt;&lt;Author&gt;Teece&lt;/Author&gt;&lt;Year&gt;1997&lt;/Year&gt;&lt;RecNum&gt;17&lt;/RecNum&gt;&lt;DisplayText&gt;Teece et al. (1997)&lt;/DisplayText&gt;&lt;record&gt;&lt;rec-number&gt;17&lt;/rec-number&gt;&lt;foreign-keys&gt;&lt;key app="EN" db-id="xzeaxr220pp5w7eap54pxr5dazzat5fe2xae" timestamp="1523592285"&gt;17&lt;/key&gt;&lt;key app="ENWeb" db-id=""&gt;0&lt;/key&gt;&lt;/foreign-keys&gt;&lt;ref-type name="Journal Article"&gt;17&lt;/ref-type&gt;&lt;contributors&gt;&lt;authors&gt;&lt;author&gt;Teece, David J.&lt;/author&gt;&lt;author&gt;Pisano, Gary&lt;/author&gt;&lt;author&gt;Shuen, Amy&lt;/author&gt;&lt;/authors&gt;&lt;/contributors&gt;&lt;titles&gt;&lt;title&gt;Dynamic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Journal&lt;/full-title&gt;&lt;/periodical&gt;&lt;pages&gt;509-533&lt;/pages&gt;&lt;volume&gt;18&lt;/volume&gt;&lt;number&gt;7&lt;/number&gt;&lt;keywords&gt;&lt;keyword&gt;dynamic capabilities&lt;/keyword&gt;&lt;/keywords&gt;&lt;dates&gt;&lt;year&gt;1997&lt;/year&gt;&lt;/dates&gt;&lt;urls&gt;&lt;/urls&gt;&lt;/record&gt;&lt;/Cite&gt;&lt;/EndNote&gt;</w:instrText>
      </w:r>
      <w:r w:rsidRPr="005647CA">
        <w:rPr>
          <w:szCs w:val="20"/>
          <w:lang w:val="es-ES_tradnl"/>
        </w:rPr>
        <w:fldChar w:fldCharType="separate"/>
      </w:r>
      <w:r w:rsidRPr="005647CA">
        <w:rPr>
          <w:szCs w:val="20"/>
          <w:lang w:val="es-ES_tradnl"/>
        </w:rPr>
        <w:t>Teece et al. (1997)</w:t>
      </w:r>
      <w:r w:rsidRPr="005647CA">
        <w:rPr>
          <w:szCs w:val="20"/>
          <w:lang w:val="es-ES_tradnl"/>
        </w:rPr>
        <w:fldChar w:fldCharType="end"/>
      </w:r>
      <w:r w:rsidRPr="005647CA">
        <w:rPr>
          <w:szCs w:val="20"/>
          <w:lang w:val="es-ES_tradnl"/>
        </w:rPr>
        <w:t xml:space="preserve"> asumen que las capacidades dinámicas generalmente se construyen en lugar de comprarse y que su creación y su evolución están integradas en procesos organizacionales que están determinados por las posiciones de los activos de las empresas y los caminos evolutivos que han adoptado en el pasado. Así mismo, Bravo y Herrera (2009) sugieren que los procesos bajo los cuales se desarrollan las capacidades dinámicas deben de estar basados en cuatro tipos de recursos: recursos humanos, liderazgo, estructuras organizacionales y la cultura </w:t>
      </w:r>
      <w:proofErr w:type="spellStart"/>
      <w:r w:rsidRPr="005647CA">
        <w:rPr>
          <w:szCs w:val="20"/>
          <w:lang w:val="es-ES_tradnl"/>
        </w:rPr>
        <w:t>organzacinal</w:t>
      </w:r>
      <w:proofErr w:type="spellEnd"/>
      <w:r w:rsidRPr="005647CA">
        <w:rPr>
          <w:szCs w:val="20"/>
          <w:lang w:val="es-ES_tradnl"/>
        </w:rPr>
        <w:t xml:space="preserve">. </w:t>
      </w:r>
    </w:p>
    <w:p w14:paraId="78EDA434"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Otros estudios desarrollan y clarifican los conceptos de capacidades dinámicas. </w:t>
      </w:r>
      <w:r w:rsidRPr="005647CA">
        <w:rPr>
          <w:szCs w:val="20"/>
          <w:lang w:val="es-ES_tradnl"/>
        </w:rPr>
        <w:fldChar w:fldCharType="begin"/>
      </w:r>
      <w:r w:rsidRPr="005647CA">
        <w:rPr>
          <w:szCs w:val="20"/>
          <w:lang w:val="es-ES_tradnl"/>
        </w:rPr>
        <w:instrText xml:space="preserve"> ADDIN EN.CITE &lt;EndNote&gt;&lt;Cite AuthorYear="1"&gt;&lt;Author&gt;Eisenhardt&lt;/Author&gt;&lt;Year&gt;2000&lt;/Year&gt;&lt;RecNum&gt;2&lt;/RecNum&gt;&lt;DisplayText&gt;Eisenhardt and Martin (2000)&lt;/DisplayText&gt;&lt;record&gt;&lt;rec-number&gt;2&lt;/rec-number&gt;&lt;foreign-keys&gt;&lt;key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capablities&lt;/keyword&gt;&lt;/keywords&gt;&lt;dates&gt;&lt;year&gt;2000&lt;/year&gt;&lt;/dates&gt;&lt;urls&gt;&lt;/urls&gt;&lt;/record&gt;&lt;/Cite&gt;&lt;/EndNote&gt;</w:instrText>
      </w:r>
      <w:r w:rsidRPr="005647CA">
        <w:rPr>
          <w:szCs w:val="20"/>
          <w:lang w:val="es-ES_tradnl"/>
        </w:rPr>
        <w:fldChar w:fldCharType="separate"/>
      </w:r>
      <w:r w:rsidRPr="005647CA">
        <w:rPr>
          <w:szCs w:val="20"/>
          <w:lang w:val="es-ES_tradnl"/>
        </w:rPr>
        <w:t>Eisenhardt and Martin (2000)</w:t>
      </w:r>
      <w:r w:rsidRPr="005647CA">
        <w:rPr>
          <w:szCs w:val="20"/>
          <w:lang w:val="es-ES_tradnl"/>
        </w:rPr>
        <w:fldChar w:fldCharType="end"/>
      </w:r>
      <w:r w:rsidRPr="005647CA">
        <w:rPr>
          <w:szCs w:val="20"/>
          <w:lang w:val="es-ES_tradnl"/>
        </w:rPr>
        <w:t xml:space="preserve">, definen a las capacidades dinámicas como los procesos que una empresa utiliza (específicamente el proceso para integrar, reconfigurar, ganar y liberar recursos) para alcanzar e inclusos crear cambios en el mercado; por lo tanto, las capacidades dinámicas son las rutinas organizacionales y estratégicas por las cuales una empresa logra configurar nuevos recursos mientras los mercados emergen, colisionan, se separan, evolucionan y mueren. Además de aportar una definición de capacidades dinámicas, </w:t>
      </w:r>
      <w:r w:rsidRPr="005647CA">
        <w:rPr>
          <w:szCs w:val="20"/>
          <w:lang w:val="es-ES_tradnl"/>
        </w:rPr>
        <w:fldChar w:fldCharType="begin"/>
      </w:r>
      <w:r w:rsidRPr="005647CA">
        <w:rPr>
          <w:szCs w:val="20"/>
          <w:lang w:val="es-ES_tradnl"/>
        </w:rPr>
        <w:instrText xml:space="preserve"> ADDIN EN.CITE &lt;EndNote&gt;&lt;Cite AuthorYear="1"&gt;&lt;Author&gt;Eisenhardt&lt;/Author&gt;&lt;Year&gt;2000&lt;/Year&gt;&lt;RecNum&gt;2&lt;/RecNum&gt;&lt;DisplayText&gt;Eisenhardt and Martin (2000)&lt;/DisplayText&gt;&lt;record&gt;&lt;rec-number&gt;2&lt;/rec-number&gt;&lt;foreign-keys&gt;&lt;key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capablities&lt;/keyword&gt;&lt;/keywords&gt;&lt;dates&gt;&lt;year&gt;2000&lt;/year&gt;&lt;/dates&gt;&lt;urls&gt;&lt;/urls&gt;&lt;/record&gt;&lt;/Cite&gt;&lt;/EndNote&gt;</w:instrText>
      </w:r>
      <w:r w:rsidRPr="005647CA">
        <w:rPr>
          <w:szCs w:val="20"/>
          <w:lang w:val="es-ES_tradnl"/>
        </w:rPr>
        <w:fldChar w:fldCharType="separate"/>
      </w:r>
      <w:r w:rsidRPr="005647CA">
        <w:rPr>
          <w:szCs w:val="20"/>
          <w:lang w:val="es-ES_tradnl"/>
        </w:rPr>
        <w:t>Eisenhardt and Martin (2000)</w:t>
      </w:r>
      <w:r w:rsidRPr="005647CA">
        <w:rPr>
          <w:szCs w:val="20"/>
          <w:lang w:val="es-ES_tradnl"/>
        </w:rPr>
        <w:fldChar w:fldCharType="end"/>
      </w:r>
      <w:r w:rsidRPr="005647CA">
        <w:rPr>
          <w:szCs w:val="20"/>
          <w:lang w:val="es-ES_tradnl"/>
        </w:rPr>
        <w:t xml:space="preserve"> afirman que las capacidades dinámicas difieren de acuerdo al dinamismo del mercado. En mercados con una dinámica moderada las capacidades dinámicas tienden a ser rutinas eficientes y procesos robustos. Por otra parte, en los mercados con una alta velocidad de cambio las capacidades dinámicas dependen en mayor medida del conocimiento desarrollado en situaciones específicas.  Por lo tanto, en los mercados con una alta velocidad, se hace indispensable poder tener información acerca de las posibles alternativas en las que puede desembocar los cambios. </w:t>
      </w:r>
    </w:p>
    <w:p w14:paraId="45A3ED56"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Por su parte, </w:t>
      </w:r>
      <w:r w:rsidRPr="005647CA">
        <w:rPr>
          <w:szCs w:val="20"/>
          <w:lang w:val="es-ES_tradnl"/>
        </w:rPr>
        <w:fldChar w:fldCharType="begin"/>
      </w:r>
      <w:r w:rsidRPr="005647CA">
        <w:rPr>
          <w:szCs w:val="20"/>
          <w:lang w:val="es-ES_tradnl"/>
        </w:rPr>
        <w:instrText xml:space="preserve"> ADDIN EN.CITE &lt;EndNote&gt;&lt;Cite AuthorYear="1"&gt;&lt;Author&gt;Zollo&lt;/Author&gt;&lt;Year&gt;2002&lt;/Year&gt;&lt;RecNum&gt;52&lt;/RecNum&gt;&lt;DisplayText&gt;Zollo and Winter (2002)&lt;/DisplayText&gt;&lt;record&gt;&lt;rec-number&gt;52&lt;/rec-number&gt;&lt;foreign-keys&gt;&lt;key app="EN" db-id="xzeaxr220pp5w7eap54pxr5dazzat5fe2xae" timestamp="1523592513"&gt;52&lt;/key&gt;&lt;key app="ENWeb" db-id=""&gt;0&lt;/key&gt;&lt;/foreign-keys&gt;&lt;ref-type name="Journal Article"&gt;17&lt;/ref-type&gt;&lt;contributors&gt;&lt;authors&gt;&lt;author&gt;Maurizio Zollo&lt;/author&gt;&lt;author&gt;Sidney G. Winter&lt;/author&gt;&lt;/authors&gt;&lt;/contributors&gt;&lt;titles&gt;&lt;title&gt;Deliberate Learning and the Evolution of Dynamic Capabilities&lt;/title&gt;&lt;secondary-title&gt;Organization Science&lt;/secondary-title&gt;&lt;/titles&gt;&lt;periodical&gt;&lt;full-title&gt;Organization Science&lt;/full-title&gt;&lt;/periodical&gt;&lt;pages&gt;339-351&lt;/pages&gt;&lt;volume&gt;13&lt;/volume&gt;&lt;number&gt;3&lt;/number&gt;&lt;keywords&gt;&lt;keyword&gt;Organizational Learning,Dynamic Capabilities,Organizational Routines,Knowledge Codification,Knowledge Articulation,Learning by Doing,Task Frequency,Task Heterogeneity,Causal Ambiguity&lt;/keyword&gt;&lt;/keywords&gt;&lt;dates&gt;&lt;year&gt;2002&lt;/year&gt;&lt;/dates&gt;&lt;urls&gt;&lt;related-urls&gt;&lt;url&gt;https://pubsonline.informs.org/doi/abs/10.1287/orsc.13.3.339.2780&lt;/url&gt;&lt;/related-urls&gt;&lt;/urls&gt;&lt;electronic-resource-num&gt;10.1287/orsc.13.3.339.2780&lt;/electronic-resource-num&gt;&lt;/record&gt;&lt;/Cite&gt;&lt;/EndNote&gt;</w:instrText>
      </w:r>
      <w:r w:rsidRPr="005647CA">
        <w:rPr>
          <w:szCs w:val="20"/>
          <w:lang w:val="es-ES_tradnl"/>
        </w:rPr>
        <w:fldChar w:fldCharType="separate"/>
      </w:r>
      <w:r w:rsidRPr="005647CA">
        <w:rPr>
          <w:szCs w:val="20"/>
          <w:lang w:val="es-ES_tradnl"/>
        </w:rPr>
        <w:t>Zollo and Winter (2002)</w:t>
      </w:r>
      <w:r w:rsidRPr="005647CA">
        <w:rPr>
          <w:szCs w:val="20"/>
          <w:lang w:val="es-ES_tradnl"/>
        </w:rPr>
        <w:fldChar w:fldCharType="end"/>
      </w:r>
      <w:r w:rsidRPr="005647CA">
        <w:rPr>
          <w:szCs w:val="20"/>
          <w:lang w:val="es-ES_tradnl"/>
        </w:rPr>
        <w:t xml:space="preserve"> definen a las capacidades dinámicas como un patrón aprendido y estable de actividades colectivas, mediante los cuales una organización genera y modifica sistemáticamente sus rutinas operativas para mejorar su efectividad. Además se da un gran énfasis en el conocimiento para poder crear las capacidades dinámicas de una empresa por medio de la acumulación de experiencia, articulación del conocimiento y el proceso de codificación del conocimiento. La acumulación de experiencia se da cuando un conjunto de patrones estables llamados </w:t>
      </w:r>
      <w:r w:rsidRPr="005647CA">
        <w:rPr>
          <w:szCs w:val="20"/>
          <w:lang w:val="es-ES_tradnl"/>
        </w:rPr>
        <w:lastRenderedPageBreak/>
        <w:t xml:space="preserve">rutinas comienzan a crear conocimiento tácito que se pude utilizar posteriormente para responder a cambios en el entorno. La articulación del conocimiento se refiere a la forma en la cual la organización logra convertir las experiencias individuales de sus miembros en conocimiento que ayude a mejorar los resultados de la organización. Por último la codificación del cocimiento se consigue cuando el conocimiento articulado se logra plasmar en una herramienta que facilite su utilización o difusión. </w:t>
      </w:r>
    </w:p>
    <w:p w14:paraId="5445CD26" w14:textId="76EE2699" w:rsidR="005647CA" w:rsidRPr="005647CA" w:rsidRDefault="005647CA" w:rsidP="005647CA">
      <w:pPr>
        <w:spacing w:line="360" w:lineRule="auto"/>
        <w:jc w:val="both"/>
        <w:rPr>
          <w:szCs w:val="20"/>
          <w:lang w:val="es-ES_tradnl"/>
        </w:rPr>
      </w:pPr>
    </w:p>
    <w:p w14:paraId="596B6B70" w14:textId="484BCD5F" w:rsidR="005647CA" w:rsidRPr="00791128" w:rsidRDefault="005647CA" w:rsidP="005647CA">
      <w:pPr>
        <w:spacing w:line="360" w:lineRule="auto"/>
        <w:jc w:val="both"/>
        <w:rPr>
          <w:sz w:val="28"/>
          <w:szCs w:val="28"/>
          <w:lang w:val="es-ES_tradnl"/>
        </w:rPr>
      </w:pPr>
      <w:r w:rsidRPr="005647CA">
        <w:rPr>
          <w:sz w:val="28"/>
          <w:szCs w:val="28"/>
          <w:lang w:val="es-ES_tradnl"/>
        </w:rPr>
        <w:t>2.</w:t>
      </w:r>
      <w:r w:rsidR="00791128">
        <w:rPr>
          <w:sz w:val="28"/>
          <w:szCs w:val="28"/>
          <w:lang w:val="es-ES_tradnl"/>
        </w:rPr>
        <w:t>4</w:t>
      </w:r>
      <w:r w:rsidRPr="005647CA">
        <w:rPr>
          <w:sz w:val="28"/>
          <w:szCs w:val="28"/>
          <w:lang w:val="es-ES_tradnl"/>
        </w:rPr>
        <w:t xml:space="preserve"> Tipos de capacidades dinámicas</w:t>
      </w:r>
    </w:p>
    <w:p w14:paraId="6E324D95" w14:textId="226CACCE" w:rsidR="005647CA" w:rsidRDefault="005647CA" w:rsidP="005647CA">
      <w:pPr>
        <w:spacing w:line="360" w:lineRule="auto"/>
        <w:jc w:val="both"/>
        <w:rPr>
          <w:szCs w:val="20"/>
          <w:lang w:val="es-ES_tradnl"/>
        </w:rPr>
      </w:pPr>
      <w:r w:rsidRPr="005647CA">
        <w:rPr>
          <w:szCs w:val="20"/>
          <w:lang w:val="es-ES_tradnl"/>
        </w:rPr>
        <w:fldChar w:fldCharType="begin"/>
      </w:r>
      <w:r w:rsidRPr="005647CA">
        <w:rPr>
          <w:szCs w:val="20"/>
          <w:lang w:val="es-ES_tradnl"/>
        </w:rPr>
        <w:instrText xml:space="preserve"> ADDIN EN.CITE &lt;EndNote&gt;&lt;Cite AuthorYear="1"&gt;&lt;Author&gt;Teece&lt;/Author&gt;&lt;Year&gt;2007&lt;/Year&gt;&lt;RecNum&gt;16&lt;/RecNum&gt;&lt;DisplayText&gt;Teece (2007)&lt;/DisplayText&gt;&lt;record&gt;&lt;rec-number&gt;16&lt;/rec-number&gt;&lt;foreign-keys&gt;&lt;key app="EN" db-id="xzeaxr220pp5w7eap54pxr5dazzat5fe2xae" timestamp="1523592282"&gt;16&lt;/key&gt;&lt;key app="ENWeb" db-id=""&gt;0&lt;/key&gt;&lt;/foreign-keys&gt;&lt;ref-type name="Journal Article"&gt;17&lt;/ref-type&gt;&lt;contributors&gt;&lt;authors&gt;&lt;author&gt;David J. Teece&lt;/author&gt;&lt;/authors&gt;&lt;/contributors&gt;&lt;titles&gt;&lt;title&gt;EXPLICATING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Journal&lt;/full-title&gt;&lt;/periodical&gt;&lt;pages&gt;1319-1350&lt;/pages&gt;&lt;volume&gt;28&lt;/volume&gt;&lt;number&gt;1&lt;/number&gt;&lt;keywords&gt;&lt;keyword&gt;dynamic capabilities&lt;/keyword&gt;&lt;/keywords&gt;&lt;dates&gt;&lt;year&gt;2007&lt;/year&gt;&lt;/dates&gt;&lt;urls&gt;&lt;/urls&gt;&lt;electronic-resource-num&gt;10.1002/smj.640&lt;/electronic-resource-num&gt;&lt;/record&gt;&lt;/Cite&gt;&lt;/EndNote&gt;</w:instrText>
      </w:r>
      <w:r w:rsidRPr="005647CA">
        <w:rPr>
          <w:szCs w:val="20"/>
          <w:lang w:val="es-ES_tradnl"/>
        </w:rPr>
        <w:fldChar w:fldCharType="separate"/>
      </w:r>
      <w:r w:rsidRPr="005647CA">
        <w:rPr>
          <w:szCs w:val="20"/>
          <w:lang w:val="es-ES_tradnl"/>
        </w:rPr>
        <w:t>Teece (2007)</w:t>
      </w:r>
      <w:r w:rsidRPr="005647CA">
        <w:rPr>
          <w:szCs w:val="20"/>
          <w:lang w:val="es-ES_tradnl"/>
        </w:rPr>
        <w:fldChar w:fldCharType="end"/>
      </w:r>
      <w:r w:rsidRPr="005647CA">
        <w:rPr>
          <w:szCs w:val="20"/>
          <w:lang w:val="es-ES_tradnl"/>
        </w:rPr>
        <w:t xml:space="preserve"> amplia su definición de capacidades dinámicas argumentando que estas se pueden separar en 1) capacidad para detectar y dar forma a oportunidades y amenazas (</w:t>
      </w:r>
      <w:proofErr w:type="spellStart"/>
      <w:r w:rsidRPr="005647CA">
        <w:rPr>
          <w:szCs w:val="20"/>
          <w:lang w:val="es-ES_tradnl"/>
        </w:rPr>
        <w:t>sensing</w:t>
      </w:r>
      <w:proofErr w:type="spellEnd"/>
      <w:r w:rsidRPr="005647CA">
        <w:rPr>
          <w:szCs w:val="20"/>
          <w:lang w:val="es-ES_tradnl"/>
        </w:rPr>
        <w:t>), 2) para aprovechar las oportunidades (</w:t>
      </w:r>
      <w:proofErr w:type="spellStart"/>
      <w:r w:rsidRPr="005647CA">
        <w:rPr>
          <w:szCs w:val="20"/>
          <w:lang w:val="es-ES_tradnl"/>
        </w:rPr>
        <w:t>seizing</w:t>
      </w:r>
      <w:proofErr w:type="spellEnd"/>
      <w:r w:rsidRPr="005647CA">
        <w:rPr>
          <w:szCs w:val="20"/>
          <w:lang w:val="es-ES_tradnl"/>
        </w:rPr>
        <w:t>) y 3) para mantener la competitividad mejorando, combinando, protegiendo y, cuando sea necesario, reconfigurando los activos intangibles y tangibles de la empresa comercial (</w:t>
      </w:r>
      <w:proofErr w:type="spellStart"/>
      <w:r w:rsidRPr="005647CA">
        <w:rPr>
          <w:szCs w:val="20"/>
          <w:lang w:val="es-ES_tradnl"/>
        </w:rPr>
        <w:t>transforming</w:t>
      </w:r>
      <w:proofErr w:type="spellEnd"/>
      <w:r w:rsidRPr="005647CA">
        <w:rPr>
          <w:szCs w:val="20"/>
          <w:lang w:val="es-ES_tradnl"/>
        </w:rPr>
        <w:t xml:space="preserve">). Posteriormente estas capacidades fueron categorizadas como capacidades dinámicas de alto nivel, lo que significa que ayudan a la organización a conocer posibles vertientes sobre el futuro, diseñar modelos de negocios para aprovechar nuevas oportunidades y determinar la mejor configuración para la organización de acuerdo a los planes futuros </w:t>
      </w:r>
      <w:r w:rsidRPr="005647CA">
        <w:rPr>
          <w:szCs w:val="20"/>
          <w:lang w:val="es-ES_tradnl"/>
        </w:rPr>
        <w:fldChar w:fldCharType="begin"/>
      </w:r>
      <w:r w:rsidRPr="005647CA">
        <w:rPr>
          <w:szCs w:val="20"/>
          <w:lang w:val="es-ES_tradnl"/>
        </w:rPr>
        <w:instrText xml:space="preserve"> ADDIN EN.CITE &lt;EndNote&gt;&lt;Cite&gt;&lt;Author&gt;Teece&lt;/Author&gt;&lt;Year&gt;2017&lt;/Year&gt;&lt;RecNum&gt;55&lt;/RecNum&gt;&lt;DisplayText&gt;(Teece, 2017)&lt;/DisplayText&gt;&lt;record&gt;&lt;rec-number&gt;55&lt;/rec-number&gt;&lt;foreign-keys&gt;&lt;key app="EN" db-id="xzeaxr220pp5w7eap54pxr5dazzat5fe2xae" timestamp="1523592518"&gt;55&lt;/key&gt;&lt;/foreign-keys&gt;&lt;ref-type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Planning&lt;/full-title&gt;&lt;/periodical&gt;&lt;keywords&gt;&lt;keyword&gt;Dynamic capabilities&lt;/keyword&gt;&lt;keyword&gt;Business model design&lt;/keyword&gt;&lt;keyword&gt;Organizational design&lt;/keyword&gt;&lt;keyword&gt;Strategy&lt;/keyword&gt;&lt;keyword&gt;Intellectual property&lt;/keyword&gt;&lt;/keywords&gt;&lt;dates&gt;&lt;year&gt;2017&lt;/year&gt;&lt;pub-dates&gt;&lt;date&gt;2017/07/23/&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Pr="005647CA">
        <w:rPr>
          <w:szCs w:val="20"/>
          <w:lang w:val="es-ES_tradnl"/>
        </w:rPr>
        <w:fldChar w:fldCharType="separate"/>
      </w:r>
      <w:r w:rsidRPr="005647CA">
        <w:rPr>
          <w:szCs w:val="20"/>
          <w:lang w:val="es-ES_tradnl"/>
        </w:rPr>
        <w:t>(Teece, 2017)</w:t>
      </w:r>
      <w:r w:rsidRPr="005647CA">
        <w:rPr>
          <w:szCs w:val="20"/>
          <w:lang w:val="es-ES_tradnl"/>
        </w:rPr>
        <w:fldChar w:fldCharType="end"/>
      </w:r>
      <w:r w:rsidRPr="005647CA">
        <w:rPr>
          <w:szCs w:val="20"/>
          <w:lang w:val="es-ES_tradnl"/>
        </w:rPr>
        <w:t>. En la Figura 1 se resumen estas capacidades.</w:t>
      </w:r>
    </w:p>
    <w:p w14:paraId="63F3E14D" w14:textId="77777777" w:rsidR="005647CA" w:rsidRPr="005647CA" w:rsidRDefault="005647CA" w:rsidP="005647CA">
      <w:pPr>
        <w:spacing w:line="360" w:lineRule="auto"/>
        <w:jc w:val="both"/>
        <w:rPr>
          <w:szCs w:val="20"/>
          <w:lang w:val="es-ES_tradnl"/>
        </w:rPr>
      </w:pPr>
    </w:p>
    <w:p w14:paraId="16F5B9F9" w14:textId="77777777" w:rsidR="005647CA" w:rsidRPr="005647CA" w:rsidRDefault="005647CA" w:rsidP="005647CA">
      <w:pPr>
        <w:spacing w:line="360" w:lineRule="auto"/>
        <w:jc w:val="center"/>
        <w:rPr>
          <w:szCs w:val="20"/>
          <w:lang w:val="es-ES_tradnl"/>
        </w:rPr>
      </w:pPr>
      <w:r w:rsidRPr="005647CA">
        <w:rPr>
          <w:szCs w:val="20"/>
          <w:lang w:val="es-ES_tradnl"/>
        </w:rPr>
        <w:t>Figura 1. Esquema simplificado de las capacidades dinámicas</w:t>
      </w:r>
    </w:p>
    <w:p w14:paraId="6BEC3329" w14:textId="77777777" w:rsidR="005647CA" w:rsidRPr="005647CA" w:rsidRDefault="005647CA" w:rsidP="005647CA">
      <w:pPr>
        <w:spacing w:line="360" w:lineRule="auto"/>
        <w:jc w:val="both"/>
        <w:rPr>
          <w:szCs w:val="20"/>
          <w:lang w:val="es-ES_tradnl"/>
        </w:rPr>
      </w:pPr>
      <w:r w:rsidRPr="005647CA">
        <w:rPr>
          <w:noProof/>
          <w:szCs w:val="20"/>
        </w:rPr>
        <w:drawing>
          <wp:inline distT="0" distB="0" distL="0" distR="0" wp14:anchorId="00BC35B2" wp14:editId="69D109DD">
            <wp:extent cx="5353878" cy="1878330"/>
            <wp:effectExtent l="12700" t="12700" r="1841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5648" cy="1914034"/>
                    </a:xfrm>
                    <a:prstGeom prst="rect">
                      <a:avLst/>
                    </a:prstGeom>
                    <a:ln>
                      <a:solidFill>
                        <a:schemeClr val="tx1"/>
                      </a:solidFill>
                    </a:ln>
                  </pic:spPr>
                </pic:pic>
              </a:graphicData>
            </a:graphic>
          </wp:inline>
        </w:drawing>
      </w:r>
      <w:r w:rsidRPr="005647CA">
        <w:rPr>
          <w:szCs w:val="20"/>
          <w:lang w:val="es-ES_tradnl"/>
        </w:rPr>
        <w:t xml:space="preserve">Fuente: </w:t>
      </w:r>
      <w:r w:rsidRPr="005647CA">
        <w:rPr>
          <w:szCs w:val="20"/>
          <w:lang w:val="es-ES_tradnl"/>
        </w:rPr>
        <w:fldChar w:fldCharType="begin"/>
      </w:r>
      <w:r w:rsidRPr="005647CA">
        <w:rPr>
          <w:szCs w:val="20"/>
          <w:lang w:val="es-ES_tradnl"/>
        </w:rPr>
        <w:instrText xml:space="preserve"> ADDIN EN.CITE &lt;EndNote&gt;&lt;Cite&gt;&lt;Author&gt;Teece&lt;/Author&gt;&lt;Year&gt;2017&lt;/Year&gt;&lt;RecNum&gt;55&lt;/RecNum&gt;&lt;DisplayText&gt;(Teece, 2017)&lt;/DisplayText&gt;&lt;record&gt;&lt;rec-number&gt;55&lt;/rec-number&gt;&lt;foreign-keys&gt;&lt;key app="EN" db-id="xzeaxr220pp5w7eap54pxr5dazzat5fe2xae" timestamp="1523592518"&gt;55&lt;/key&gt;&lt;/foreign-keys&gt;&lt;ref-type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Planning&lt;/full-title&gt;&lt;/periodical&gt;&lt;keywords&gt;&lt;keyword&gt;Dynamic capabilities&lt;/keyword&gt;&lt;keyword&gt;Business model design&lt;/keyword&gt;&lt;keyword&gt;Organizational design&lt;/keyword&gt;&lt;keyword&gt;Strategy&lt;/keyword&gt;&lt;keyword&gt;Intellectual property&lt;/keyword&gt;&lt;/keywords&gt;&lt;dates&gt;&lt;year&gt;2017&lt;/year&gt;&lt;pub-dates&gt;&lt;date&gt;2017/07/23/&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Pr="005647CA">
        <w:rPr>
          <w:szCs w:val="20"/>
          <w:lang w:val="es-ES_tradnl"/>
        </w:rPr>
        <w:fldChar w:fldCharType="separate"/>
      </w:r>
      <w:r w:rsidRPr="005647CA">
        <w:rPr>
          <w:szCs w:val="20"/>
          <w:lang w:val="es-ES_tradnl"/>
        </w:rPr>
        <w:t>(Teece, 2017)</w:t>
      </w:r>
      <w:r w:rsidRPr="005647CA">
        <w:rPr>
          <w:szCs w:val="20"/>
          <w:lang w:val="es-ES_tradnl"/>
        </w:rPr>
        <w:fldChar w:fldCharType="end"/>
      </w:r>
    </w:p>
    <w:p w14:paraId="5F73A474" w14:textId="77777777" w:rsidR="005647CA" w:rsidRPr="005647CA" w:rsidRDefault="005647CA" w:rsidP="005647CA">
      <w:pPr>
        <w:spacing w:line="360" w:lineRule="auto"/>
        <w:jc w:val="both"/>
        <w:rPr>
          <w:szCs w:val="20"/>
          <w:lang w:val="es-ES_tradnl"/>
        </w:rPr>
      </w:pPr>
    </w:p>
    <w:p w14:paraId="7278DA04" w14:textId="77777777" w:rsidR="005647CA" w:rsidRPr="005647CA" w:rsidRDefault="005647CA" w:rsidP="005647CA">
      <w:pPr>
        <w:spacing w:line="360" w:lineRule="auto"/>
        <w:jc w:val="both"/>
        <w:rPr>
          <w:szCs w:val="20"/>
          <w:lang w:val="es-ES_tradnl"/>
        </w:rPr>
      </w:pPr>
      <w:r w:rsidRPr="005647CA">
        <w:rPr>
          <w:szCs w:val="20"/>
          <w:lang w:val="es-ES_tradnl"/>
        </w:rPr>
        <w:t>Capacidad para detectar oportunidades (</w:t>
      </w:r>
      <w:proofErr w:type="spellStart"/>
      <w:r w:rsidRPr="005647CA">
        <w:rPr>
          <w:szCs w:val="20"/>
          <w:lang w:val="es-ES_tradnl"/>
        </w:rPr>
        <w:t>sensing</w:t>
      </w:r>
      <w:proofErr w:type="spellEnd"/>
      <w:r w:rsidRPr="005647CA">
        <w:rPr>
          <w:szCs w:val="20"/>
          <w:lang w:val="es-ES_tradnl"/>
        </w:rPr>
        <w:t xml:space="preserve">). De acuerdo a </w:t>
      </w:r>
      <w:r w:rsidRPr="005647CA">
        <w:rPr>
          <w:szCs w:val="20"/>
          <w:lang w:val="es-ES_tradnl"/>
        </w:rPr>
        <w:fldChar w:fldCharType="begin"/>
      </w:r>
      <w:r w:rsidRPr="005647CA">
        <w:rPr>
          <w:szCs w:val="20"/>
          <w:lang w:val="es-ES_tradnl"/>
        </w:rPr>
        <w:instrText xml:space="preserve"> ADDIN EN.CITE &lt;EndNote&gt;&lt;Cite AuthorYear="1"&gt;&lt;Author&gt;Teece&lt;/Author&gt;&lt;Year&gt;2007&lt;/Year&gt;&lt;RecNum&gt;16&lt;/RecNum&gt;&lt;DisplayText&gt;Teece (2007)&lt;/DisplayText&gt;&lt;record&gt;&lt;rec-number&gt;16&lt;/rec-number&gt;&lt;foreign-keys&gt;&lt;key app="EN" db-id="xzeaxr220pp5w7eap54pxr5dazzat5fe2xae" timestamp="1523592282"&gt;16&lt;/key&gt;&lt;key app="ENWeb" db-id=""&gt;0&lt;/key&gt;&lt;/foreign-keys&gt;&lt;ref-type name="Journal Article"&gt;17&lt;/ref-type&gt;&lt;contributors&gt;&lt;authors&gt;&lt;author&gt;David J. Teece&lt;/author&gt;&lt;/authors&gt;&lt;/contributors&gt;&lt;titles&gt;&lt;title&gt;EXPLICATING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Journal&lt;/full-title&gt;&lt;/periodical&gt;&lt;pages&gt;1319-1350&lt;/pages&gt;&lt;volume&gt;28&lt;/volume&gt;&lt;number&gt;1&lt;/number&gt;&lt;keywords&gt;&lt;keyword&gt;dynamic capabilities&lt;/keyword&gt;&lt;/keywords&gt;&lt;dates&gt;&lt;year&gt;2007&lt;/year&gt;&lt;/dates&gt;&lt;urls&gt;&lt;/urls&gt;&lt;electronic-resource-num&gt;10.1002/smj.640&lt;/electronic-resource-num&gt;&lt;/record&gt;&lt;/Cite&gt;&lt;/EndNote&gt;</w:instrText>
      </w:r>
      <w:r w:rsidRPr="005647CA">
        <w:rPr>
          <w:szCs w:val="20"/>
          <w:lang w:val="es-ES_tradnl"/>
        </w:rPr>
        <w:fldChar w:fldCharType="separate"/>
      </w:r>
      <w:r w:rsidRPr="005647CA">
        <w:rPr>
          <w:szCs w:val="20"/>
          <w:lang w:val="es-ES_tradnl"/>
        </w:rPr>
        <w:t>Teece (2007)</w:t>
      </w:r>
      <w:r w:rsidRPr="005647CA">
        <w:rPr>
          <w:szCs w:val="20"/>
          <w:lang w:val="es-ES_tradnl"/>
        </w:rPr>
        <w:fldChar w:fldCharType="end"/>
      </w:r>
      <w:r w:rsidRPr="005647CA">
        <w:rPr>
          <w:szCs w:val="20"/>
          <w:lang w:val="es-ES_tradnl"/>
        </w:rPr>
        <w:t xml:space="preserve"> la capacidad de detectar las nuevas oportunidades esta formada por las actividades de </w:t>
      </w:r>
      <w:r w:rsidRPr="005647CA">
        <w:rPr>
          <w:szCs w:val="20"/>
          <w:lang w:val="es-ES_tradnl"/>
        </w:rPr>
        <w:lastRenderedPageBreak/>
        <w:t xml:space="preserve">escanear, crear, aprender e interpretar.  La capacidad de encontrar o crear una nueva oportunidad proviene de los de la capacidades cognitivas y creativas de los individuos de una organización. Sin embargo está capacidad también puede estar fincada en los procesos organizacionales tales como las actividades de investigación o desarrollo. Esta capacidad también necesita de el componente de interpretación para poder configurar la información que se obtiene, así como los de escanear y monitorear los desarrollos tecnológicos internos y externos. Las actividades de búsqueda que son relevantes para detectar nuevas oportunidades incluyen información sobre lo que esta sucediendo en el ecosistema de negocios. Concluyendo, la capacidad para detectar nuevas oportunidades es un sistema analítico para aprender, filtrar, dar forma y calibrar oportunidades. </w:t>
      </w:r>
    </w:p>
    <w:p w14:paraId="345C954C" w14:textId="77777777" w:rsidR="005647CA" w:rsidRPr="005647CA" w:rsidRDefault="005647CA" w:rsidP="00791128">
      <w:pPr>
        <w:spacing w:line="360" w:lineRule="auto"/>
        <w:ind w:firstLine="708"/>
        <w:jc w:val="both"/>
        <w:rPr>
          <w:szCs w:val="20"/>
          <w:lang w:val="es-ES_tradnl"/>
        </w:rPr>
      </w:pPr>
      <w:r w:rsidRPr="005647CA">
        <w:rPr>
          <w:szCs w:val="20"/>
          <w:lang w:val="es-ES_tradnl"/>
        </w:rPr>
        <w:t>Capacidad para aprovechar oportunidades (</w:t>
      </w:r>
      <w:proofErr w:type="spellStart"/>
      <w:r w:rsidRPr="005647CA">
        <w:rPr>
          <w:szCs w:val="20"/>
          <w:lang w:val="es-ES_tradnl"/>
        </w:rPr>
        <w:t>seizing</w:t>
      </w:r>
      <w:proofErr w:type="spellEnd"/>
      <w:r w:rsidRPr="005647CA">
        <w:rPr>
          <w:szCs w:val="20"/>
          <w:lang w:val="es-ES_tradnl"/>
        </w:rPr>
        <w:t>). Una vez que una oportunidad tecnológica o de mercado ha sido detectada ésta debe abordarse a través de nuevos productos, procesos o servicios. Esta capacidad se fundamenta en la selección de las arquitecturas del producto y modelos de negocio. Este tipo de capacidad abarca 1) qué tecnologías y características tienen que ser integradas al nuevo producto o servicio, 2) cómo dese ser diseñada la estructura de ingresos y costos para satisfacer las necesidades de los clientes, 3) la forma en que las nuevas tecnologías deben de ser ensambladas, 4) identificar los segmentos de mercado a los que irá dirigido el nuevo producto o servicio y 5) el mecanismo por el cuál el valor será capturado. Esta capacidad tiene que crear, ajustar, perfeccionar y si es necesario reemplazar los modelos comerciales existentes de la empresa.</w:t>
      </w:r>
    </w:p>
    <w:p w14:paraId="2DB4D310" w14:textId="77777777" w:rsidR="005647CA" w:rsidRPr="005647CA" w:rsidRDefault="005647CA" w:rsidP="00791128">
      <w:pPr>
        <w:spacing w:line="360" w:lineRule="auto"/>
        <w:ind w:firstLine="708"/>
        <w:jc w:val="both"/>
        <w:rPr>
          <w:szCs w:val="20"/>
          <w:lang w:val="es-ES_tradnl"/>
        </w:rPr>
      </w:pPr>
      <w:r w:rsidRPr="005647CA">
        <w:rPr>
          <w:szCs w:val="20"/>
          <w:lang w:val="es-ES_tradnl"/>
        </w:rPr>
        <w:t>Capacidad para mantener la competitividad (</w:t>
      </w:r>
      <w:proofErr w:type="spellStart"/>
      <w:r w:rsidRPr="005647CA">
        <w:rPr>
          <w:szCs w:val="20"/>
          <w:lang w:val="es-ES_tradnl"/>
        </w:rPr>
        <w:t>transforming</w:t>
      </w:r>
      <w:proofErr w:type="spellEnd"/>
      <w:r w:rsidRPr="005647CA">
        <w:rPr>
          <w:szCs w:val="20"/>
          <w:lang w:val="es-ES_tradnl"/>
        </w:rPr>
        <w:t xml:space="preserve">). Una vez que una organización ha logrado identificar y aprovechar las oportunidades se puede alcanzar el crecimiento y la rentabilidad de esa organización. Este crecimiento conducirá al incremento de los recursos y activos de la organización, la clave para poder sostener este crecimiento está en la habilidad para recombinar y reconfigurar los bienes y estructuras organizacionales. </w:t>
      </w:r>
    </w:p>
    <w:p w14:paraId="00DEDC75"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Como se ha podido observar, las capacidades dinámicas hacen referencia a la capacidad de las organizaciones para adaptarse ante un entorno dinámico. Para que la empresa pueda adaptarse en necesario saber que tendencias existen en los mercados para poder estar preparase para los cambios. Es en este punto en donde la prospectiva </w:t>
      </w:r>
      <w:r w:rsidRPr="005647CA">
        <w:rPr>
          <w:szCs w:val="20"/>
          <w:lang w:val="es-ES_tradnl"/>
        </w:rPr>
        <w:lastRenderedPageBreak/>
        <w:t xml:space="preserve">tecnológica puede ser vista como una capacidad dinámica ya que es una habilidad de la empresa para detectar cambio de forma temprana. </w:t>
      </w:r>
    </w:p>
    <w:p w14:paraId="321E2042" w14:textId="77777777" w:rsidR="005C1920" w:rsidRPr="005647CA" w:rsidRDefault="005C1920" w:rsidP="009818A0">
      <w:pPr>
        <w:spacing w:line="360" w:lineRule="auto"/>
        <w:jc w:val="both"/>
        <w:rPr>
          <w:rFonts w:ascii="Arial" w:hAnsi="Arial" w:cs="Arial"/>
          <w:sz w:val="20"/>
          <w:szCs w:val="20"/>
          <w:lang w:val="es-ES_tradnl"/>
        </w:rPr>
      </w:pPr>
    </w:p>
    <w:p w14:paraId="48C8453D" w14:textId="1717FACE" w:rsidR="005C1920" w:rsidRPr="00B60952" w:rsidRDefault="009818A0" w:rsidP="005C1920">
      <w:pPr>
        <w:spacing w:line="360" w:lineRule="auto"/>
        <w:rPr>
          <w:b/>
          <w:color w:val="244061"/>
          <w:sz w:val="28"/>
        </w:rPr>
      </w:pPr>
      <w:r w:rsidRPr="00B60952">
        <w:rPr>
          <w:b/>
          <w:color w:val="244061"/>
          <w:sz w:val="28"/>
        </w:rPr>
        <w:t>3</w:t>
      </w:r>
      <w:r w:rsidR="005C1920" w:rsidRPr="00B60952">
        <w:rPr>
          <w:b/>
          <w:color w:val="244061"/>
          <w:sz w:val="28"/>
        </w:rPr>
        <w:t>. Metodología</w:t>
      </w:r>
    </w:p>
    <w:p w14:paraId="7E3A5186" w14:textId="77777777" w:rsidR="005647CA" w:rsidRPr="005647CA" w:rsidRDefault="005647CA" w:rsidP="005647CA">
      <w:pPr>
        <w:spacing w:line="360" w:lineRule="auto"/>
        <w:jc w:val="both"/>
        <w:rPr>
          <w:szCs w:val="20"/>
          <w:lang w:val="es-MX"/>
        </w:rPr>
      </w:pPr>
      <w:r w:rsidRPr="005647CA">
        <w:rPr>
          <w:szCs w:val="20"/>
          <w:lang w:val="es-MX"/>
        </w:rPr>
        <w:t xml:space="preserve">En la presente investigación se utiliza un estudio de caso para desarrollar una inferencia analítica y no estadística del universo de estudio. Es un estudio cualitativo con sentido exploratorio con fines descriptivos, por lo que se toma como base la interpretación de los datos obtenidos para poder analizar y descubrir lo que se pueda aprender sobre el área de estudio que compete a la investigación </w:t>
      </w:r>
      <w:r w:rsidRPr="005647CA">
        <w:rPr>
          <w:szCs w:val="20"/>
          <w:lang w:val="es-MX"/>
        </w:rPr>
        <w:fldChar w:fldCharType="begin"/>
      </w:r>
      <w:r w:rsidRPr="005647CA">
        <w:rPr>
          <w:szCs w:val="20"/>
          <w:lang w:val="es-MX"/>
        </w:rPr>
        <w:instrText xml:space="preserve"> ADDIN EN.CITE &lt;EndNote&gt;&lt;Cite&gt;&lt;Author&gt;Jackson&lt;/Author&gt;&lt;Year&gt;2007&lt;/Year&gt;&lt;RecNum&gt;390&lt;/RecNum&gt;&lt;DisplayText&gt;(Jackson, Drummond, &amp;amp; Camara, 2007)&lt;/DisplayText&gt;&lt;record&gt;&lt;rec-number&gt;390&lt;/rec-number&gt;&lt;foreign-keys&gt;&lt;key app="EN" db-id="xzeaxr220pp5w7eap54pxr5dazzat5fe2xae" timestamp="1592150952"&gt;390&lt;/key&gt;&lt;/foreign-keys&gt;&lt;ref-type name="Journal Article"&gt;17&lt;/ref-type&gt;&lt;contributors&gt;&lt;authors&gt;&lt;author&gt;Jackson, Ronald L&lt;/author&gt;&lt;author&gt;Drummond, Darlene K&lt;/author&gt;&lt;author&gt;Camara, Sakile&lt;/author&gt;&lt;/authors&gt;&lt;/contributors&gt;&lt;titles&gt;&lt;title&gt;What is qualitative research?&lt;/title&gt;&lt;secondary-title&gt;Qualitative research reports in communication&lt;/secondary-title&gt;&lt;/titles&gt;&lt;periodical&gt;&lt;full-title&gt;Qualitative research reports in communication&lt;/full-title&gt;&lt;/periodical&gt;&lt;pages&gt;21-28&lt;/pages&gt;&lt;volume&gt;8&lt;/volume&gt;&lt;number&gt;1&lt;/number&gt;&lt;dates&gt;&lt;year&gt;2007&lt;/year&gt;&lt;/dates&gt;&lt;isbn&gt;1745-9435&lt;/isbn&gt;&lt;urls&gt;&lt;/urls&gt;&lt;/record&gt;&lt;/Cite&gt;&lt;/EndNote&gt;</w:instrText>
      </w:r>
      <w:r w:rsidRPr="005647CA">
        <w:rPr>
          <w:szCs w:val="20"/>
          <w:lang w:val="es-MX"/>
        </w:rPr>
        <w:fldChar w:fldCharType="separate"/>
      </w:r>
      <w:r w:rsidRPr="005647CA">
        <w:rPr>
          <w:szCs w:val="20"/>
          <w:lang w:val="es-MX"/>
        </w:rPr>
        <w:t>(Jackson, Drummond, &amp; Camara, 2007)</w:t>
      </w:r>
      <w:r w:rsidRPr="005647CA">
        <w:rPr>
          <w:szCs w:val="20"/>
        </w:rPr>
        <w:fldChar w:fldCharType="end"/>
      </w:r>
      <w:r w:rsidRPr="005647CA">
        <w:rPr>
          <w:szCs w:val="20"/>
          <w:lang w:val="es-MX"/>
        </w:rPr>
        <w:t xml:space="preserve">. Para el diseño, desarrollo, aplicación y análisis del caso de estudio se plantearon tres fases y una encuesta: 1) Formación teórica en el área de estudio; 2) Planificación y elaboración de la entrevista semiestructurada; y 3) Análisis de datos </w:t>
      </w:r>
      <w:r w:rsidRPr="005647CA">
        <w:rPr>
          <w:szCs w:val="20"/>
          <w:lang w:val="es-MX"/>
        </w:rPr>
        <w:fldChar w:fldCharType="begin"/>
      </w:r>
      <w:r w:rsidRPr="005647CA">
        <w:rPr>
          <w:szCs w:val="20"/>
          <w:lang w:val="es-MX"/>
        </w:rPr>
        <w:instrText xml:space="preserve"> ADDIN EN.CITE &lt;EndNote&gt;&lt;Cite&gt;&lt;Author&gt;Buendía&lt;/Author&gt;&lt;Year&gt;1998&lt;/Year&gt;&lt;RecNum&gt;391&lt;/RecNum&gt;&lt;DisplayText&gt;(Buendía, Colás, &amp;amp; Hernández, 1998)&lt;/DisplayText&gt;&lt;record&gt;&lt;rec-number&gt;391&lt;/rec-number&gt;&lt;foreign-keys&gt;&lt;key app="EN" db-id="xzeaxr220pp5w7eap54pxr5dazzat5fe2xae" timestamp="1592151282"&gt;391&lt;/key&gt;&lt;/foreign-keys&gt;&lt;ref-type name="Book"&gt;6&lt;/ref-type&gt;&lt;contributors&gt;&lt;authors&gt;&lt;author&gt;Buendía, Leonor&lt;/author&gt;&lt;author&gt;Colás, Ma&lt;/author&gt;&lt;author&gt;Hernández, Fuensanta&lt;/author&gt;&lt;/authors&gt;&lt;/contributors&gt;&lt;titles&gt;&lt;title&gt;Métodos de investigación en psicopedagogía&lt;/title&gt;&lt;/titles&gt;&lt;dates&gt;&lt;year&gt;1998&lt;/year&gt;&lt;/dates&gt;&lt;pub-location&gt;Madrid, España&lt;/pub-location&gt;&lt;publisher&gt;McGraw-Hill,&lt;/publisher&gt;&lt;isbn&gt;8448112547&lt;/isbn&gt;&lt;urls&gt;&lt;/urls&gt;&lt;/record&gt;&lt;/Cite&gt;&lt;/EndNote&gt;</w:instrText>
      </w:r>
      <w:r w:rsidRPr="005647CA">
        <w:rPr>
          <w:szCs w:val="20"/>
          <w:lang w:val="es-MX"/>
        </w:rPr>
        <w:fldChar w:fldCharType="separate"/>
      </w:r>
      <w:r w:rsidRPr="005647CA">
        <w:rPr>
          <w:szCs w:val="20"/>
          <w:lang w:val="es-MX"/>
        </w:rPr>
        <w:t>(Buendía, Colás, &amp; Hernández, 1998)</w:t>
      </w:r>
      <w:r w:rsidRPr="005647CA">
        <w:rPr>
          <w:szCs w:val="20"/>
        </w:rPr>
        <w:fldChar w:fldCharType="end"/>
      </w:r>
      <w:r w:rsidRPr="005647CA">
        <w:rPr>
          <w:szCs w:val="20"/>
          <w:lang w:val="es-MX"/>
        </w:rPr>
        <w:t xml:space="preserve">. Para el presente trabajo se tomó como caso de estudio el área de investigación de electroquímica molecular dentro del Centro de Investigación y Desarrollo Tecnológico en Electroquímica (CIDETEQ). Este centro de investigación es líder en México en el desarrollo e investigación en tecnología electroquímica. Además, proporciona diferentes servicios a la industria, como análisis de metales, análisis de aguas, caracterización de materiales y análisis de fallas. Dentro de sus objetivos estratégicos se encuentra desarrollar y transferir paquetes tecnológicos propios para el Consejo Nacional de Ciencia y Tecnología </w:t>
      </w:r>
      <w:r w:rsidRPr="005647CA">
        <w:rPr>
          <w:szCs w:val="20"/>
          <w:lang w:val="es-MX"/>
        </w:rPr>
        <w:fldChar w:fldCharType="begin"/>
      </w:r>
      <w:r w:rsidRPr="005647CA">
        <w:rPr>
          <w:szCs w:val="20"/>
          <w:lang w:val="es-MX"/>
        </w:rPr>
        <w:instrText xml:space="preserve"> ADDIN EN.CITE &lt;EndNote&gt;&lt;Cite&gt;&lt;Author&gt;CONACYT&lt;/Author&gt;&lt;Year&gt;2014&lt;/Year&gt;&lt;RecNum&gt;30&lt;/RecNum&gt;&lt;DisplayText&gt;(CONACYT, 2014)&lt;/DisplayText&gt;&lt;record&gt;&lt;rec-number&gt;30&lt;/rec-number&gt;&lt;foreign-keys&gt;&lt;key app="EN" db-id="xzeaxr220pp5w7eap54pxr5dazzat5fe2xae" timestamp="1523592403"&gt;30&lt;/key&gt;&lt;/foreign-keys&gt;&lt;ref-type name="Web Page"&gt;12&lt;/ref-type&gt;&lt;contributors&gt;&lt;authors&gt;&lt;author&gt;CONACYT&lt;/author&gt;&lt;/authors&gt;&lt;/contributors&gt;&lt;titles&gt;&lt;title&gt;Centros Públicos de Investigación Conacyt&lt;/title&gt;&lt;/titles&gt;&lt;volume&gt;2017&lt;/volume&gt;&lt;number&gt;15-10-2017&lt;/number&gt;&lt;dates&gt;&lt;year&gt;2014&lt;/year&gt;&lt;/dates&gt;&lt;urls&gt;&lt;/urls&gt;&lt;/record&gt;&lt;/Cite&gt;&lt;/EndNote&gt;</w:instrText>
      </w:r>
      <w:r w:rsidRPr="005647CA">
        <w:rPr>
          <w:szCs w:val="20"/>
          <w:lang w:val="es-MX"/>
        </w:rPr>
        <w:fldChar w:fldCharType="separate"/>
      </w:r>
      <w:r w:rsidRPr="005647CA">
        <w:rPr>
          <w:szCs w:val="20"/>
          <w:lang w:val="es-MX"/>
        </w:rPr>
        <w:t>(CONACYT, 2014)</w:t>
      </w:r>
      <w:r w:rsidRPr="005647CA">
        <w:rPr>
          <w:szCs w:val="20"/>
        </w:rPr>
        <w:fldChar w:fldCharType="end"/>
      </w:r>
      <w:r w:rsidRPr="005647CA">
        <w:rPr>
          <w:szCs w:val="20"/>
          <w:lang w:val="es-MX"/>
        </w:rPr>
        <w:t xml:space="preserve">. </w:t>
      </w:r>
    </w:p>
    <w:p w14:paraId="7700F56F" w14:textId="77777777" w:rsidR="005647CA" w:rsidRPr="005647CA" w:rsidRDefault="005647CA" w:rsidP="00791128">
      <w:pPr>
        <w:spacing w:line="360" w:lineRule="auto"/>
        <w:ind w:firstLine="708"/>
        <w:jc w:val="both"/>
        <w:rPr>
          <w:szCs w:val="20"/>
          <w:lang w:val="es-MX"/>
        </w:rPr>
      </w:pPr>
      <w:r w:rsidRPr="005647CA">
        <w:rPr>
          <w:szCs w:val="20"/>
          <w:lang w:val="es-MX"/>
        </w:rPr>
        <w:t xml:space="preserve">La investigación comenzó identificando a los actores principales que intervienen en la prospectiva tecnológica. Dentro del caso de estudio se detectan tres actores clave que son los únicos responsables de dirigir y desarrollar la actividad de prospectiva tecnológica en esta institución. El primero de ellos es el director de Planeación e Inteligencia Tecnológica. Los dos actores restantes son los investigadores líderes de proyectos dentro del área de investigación. Una vez identificados a los actores clave, se tuvo una primera entrevista con el director de Planeación e Inteligencia Tecnológica del CIDETEQ, en donde se conocieron las necesidades de prospectiva tecnológica de la organización. La entrevista semiestructurada tuvo como objetivo recabar información con respecto a los temas que se pretenden estudiar por parte del investigador </w:t>
      </w:r>
      <w:r w:rsidRPr="005647CA">
        <w:rPr>
          <w:szCs w:val="20"/>
          <w:lang w:val="es-MX"/>
        </w:rPr>
        <w:fldChar w:fldCharType="begin"/>
      </w:r>
      <w:r w:rsidRPr="005647CA">
        <w:rPr>
          <w:szCs w:val="20"/>
          <w:lang w:val="es-MX"/>
        </w:rPr>
        <w:instrText xml:space="preserve"> ADDIN EN.CITE &lt;EndNote&gt;&lt;Cite&gt;&lt;Author&gt;Corbetta&lt;/Author&gt;&lt;Year&gt;2003&lt;/Year&gt;&lt;RecNum&gt;250&lt;/RecNum&gt;&lt;DisplayText&gt;(Corbetta, 2003)&lt;/DisplayText&gt;&lt;record&gt;&lt;rec-number&gt;250&lt;/rec-number&gt;&lt;foreign-keys&gt;&lt;key app="EN" db-id="xzeaxr220pp5w7eap54pxr5dazzat5fe2xae" timestamp="1582764683"&gt;250&lt;/key&gt;&lt;/foreign-keys&gt;&lt;ref-type name="Book"&gt;6&lt;/ref-type&gt;&lt;contributors&gt;&lt;authors&gt;&lt;author&gt;Corbetta, Piergiorgio&lt;/author&gt;&lt;/authors&gt;&lt;/contributors&gt;&lt;titles&gt;&lt;title&gt;Social research: Theory, methods and techniques&lt;/title&gt;&lt;/titles&gt;&lt;dates&gt;&lt;year&gt;2003&lt;/year&gt;&lt;/dates&gt;&lt;publisher&gt;Sage&lt;/publisher&gt;&lt;isbn&gt;1446236706&lt;/isbn&gt;&lt;urls&gt;&lt;/urls&gt;&lt;/record&gt;&lt;/Cite&gt;&lt;/EndNote&gt;</w:instrText>
      </w:r>
      <w:r w:rsidRPr="005647CA">
        <w:rPr>
          <w:szCs w:val="20"/>
          <w:lang w:val="es-MX"/>
        </w:rPr>
        <w:fldChar w:fldCharType="separate"/>
      </w:r>
      <w:r w:rsidRPr="005647CA">
        <w:rPr>
          <w:szCs w:val="20"/>
          <w:lang w:val="es-MX"/>
        </w:rPr>
        <w:t>(Corbetta, 2003)</w:t>
      </w:r>
      <w:r w:rsidRPr="005647CA">
        <w:rPr>
          <w:szCs w:val="20"/>
        </w:rPr>
        <w:fldChar w:fldCharType="end"/>
      </w:r>
      <w:r w:rsidRPr="005647CA">
        <w:rPr>
          <w:szCs w:val="20"/>
          <w:lang w:val="es-MX"/>
        </w:rPr>
        <w:t xml:space="preserve">. Basado en este encuentro inicial, el trabajo se centró en diseñar entrevistas </w:t>
      </w:r>
      <w:r w:rsidRPr="005647CA">
        <w:rPr>
          <w:szCs w:val="20"/>
          <w:lang w:val="es-MX"/>
        </w:rPr>
        <w:lastRenderedPageBreak/>
        <w:t xml:space="preserve">semiestructuradas para los tres actores principales identificados, </w:t>
      </w:r>
      <w:r w:rsidRPr="005647CA">
        <w:rPr>
          <w:szCs w:val="20"/>
          <w:lang w:val="es-ES_tradnl"/>
        </w:rPr>
        <w:t xml:space="preserve">El tema principal abordado fueron las características y condiciones bajo las cuales se realiza la prospectiva tecnológica en el Centro de Investigación. La entrevista fue dirigida para conocer si la prospectiva tecnológica empataba con las características brindadas por </w:t>
      </w:r>
      <w:r w:rsidRPr="005647CA">
        <w:rPr>
          <w:szCs w:val="20"/>
          <w:lang w:val="es-ES_tradnl"/>
        </w:rPr>
        <w:fldChar w:fldCharType="begin"/>
      </w:r>
      <w:r w:rsidRPr="005647CA">
        <w:rPr>
          <w:szCs w:val="20"/>
          <w:lang w:val="es-ES_tradnl"/>
        </w:rPr>
        <w:instrText xml:space="preserve"> ADDIN EN.CITE &lt;EndNote&gt;&lt;Cite AuthorYear="1"&gt;&lt;Author&gt;Eisenhardt&lt;/Author&gt;&lt;Year&gt;2000&lt;/Year&gt;&lt;RecNum&gt;2&lt;/RecNum&gt;&lt;DisplayText&gt;Eisenhardt and Martin (2000)&lt;/DisplayText&gt;&lt;record&gt;&lt;rec-number&gt;2&lt;/rec-number&gt;&lt;foreign-keys&gt;&lt;key app="EN" db-id="xzeaxr220pp5w7eap54pxr5dazzat5fe2xae" timestamp="1523592106"&gt;2&lt;/key&gt;&lt;key app="ENWeb" db-id=""&gt;0&lt;/key&gt;&lt;/foreign-keys&gt;&lt;ref-type name="Journal Article"&gt;17&lt;/ref-type&gt;&lt;contributors&gt;&lt;authors&gt;&lt;author&gt;Kathleen M. Eisenhardt&lt;/author&gt;&lt;author&gt;Martin, Jeffrey&lt;/author&gt;&lt;/authors&gt;&lt;/contributors&gt;&lt;titles&gt;&lt;title&gt;Dynamic Capabilities: What are they?&lt;/title&gt;&lt;secondary-title&gt;Strategic Management Journal&lt;/secondary-title&gt;&lt;/titles&gt;&lt;periodical&gt;&lt;full-title&gt;Strategic Management Journal&lt;/full-title&gt;&lt;/periodical&gt;&lt;volume&gt;21&lt;/volume&gt;&lt;number&gt;10&lt;/number&gt;&lt;section&gt;1105&lt;/section&gt;&lt;keywords&gt;&lt;keyword&gt;Dynamic capablities&lt;/keyword&gt;&lt;/keywords&gt;&lt;dates&gt;&lt;year&gt;2000&lt;/year&gt;&lt;/dates&gt;&lt;urls&gt;&lt;/urls&gt;&lt;/record&gt;&lt;/Cite&gt;&lt;/EndNote&gt;</w:instrText>
      </w:r>
      <w:r w:rsidRPr="005647CA">
        <w:rPr>
          <w:szCs w:val="20"/>
          <w:lang w:val="es-ES_tradnl"/>
        </w:rPr>
        <w:fldChar w:fldCharType="separate"/>
      </w:r>
      <w:r w:rsidRPr="005647CA">
        <w:rPr>
          <w:szCs w:val="20"/>
          <w:lang w:val="es-ES_tradnl"/>
        </w:rPr>
        <w:t>Eisenhardt and Martin (2000)</w:t>
      </w:r>
      <w:r w:rsidRPr="005647CA">
        <w:rPr>
          <w:szCs w:val="20"/>
        </w:rPr>
        <w:fldChar w:fldCharType="end"/>
      </w:r>
      <w:r w:rsidRPr="005647CA">
        <w:rPr>
          <w:szCs w:val="20"/>
          <w:lang w:val="es-ES_tradnl"/>
        </w:rPr>
        <w:t xml:space="preserve">, de igual forma se realizaron preguntas para indagar si la actividad de prospectiva tecnológica podía categorizarse como capacidad dinámica de acuerdo a la tipología propuesta por </w:t>
      </w:r>
      <w:r w:rsidRPr="005647CA">
        <w:rPr>
          <w:szCs w:val="20"/>
          <w:lang w:val="es-ES_tradnl"/>
        </w:rPr>
        <w:fldChar w:fldCharType="begin"/>
      </w:r>
      <w:r w:rsidRPr="005647CA">
        <w:rPr>
          <w:szCs w:val="20"/>
          <w:lang w:val="es-ES_tradnl"/>
        </w:rPr>
        <w:instrText xml:space="preserve"> ADDIN EN.CITE &lt;EndNote&gt;&lt;Cite AuthorYear="1"&gt;&lt;Author&gt;Teece&lt;/Author&gt;&lt;Year&gt;2007&lt;/Year&gt;&lt;RecNum&gt;16&lt;/RecNum&gt;&lt;DisplayText&gt;Teece (2007)&lt;/DisplayText&gt;&lt;record&gt;&lt;rec-number&gt;16&lt;/rec-number&gt;&lt;foreign-keys&gt;&lt;key app="EN" db-id="xzeaxr220pp5w7eap54pxr5dazzat5fe2xae" timestamp="1523592282"&gt;16&lt;/key&gt;&lt;key app="ENWeb" db-id=""&gt;0&lt;/key&gt;&lt;/foreign-keys&gt;&lt;ref-type name="Journal Article"&gt;17&lt;/ref-type&gt;&lt;contributors&gt;&lt;authors&gt;&lt;author&gt;David J. Teece&lt;/author&gt;&lt;/authors&gt;&lt;/contributors&gt;&lt;titles&gt;&lt;title&gt;EXPLICATING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Journal&lt;/full-title&gt;&lt;/periodical&gt;&lt;pages&gt;1319-1350&lt;/pages&gt;&lt;volume&gt;28&lt;/volume&gt;&lt;number&gt;1&lt;/number&gt;&lt;keywords&gt;&lt;keyword&gt;dynamic capabilities&lt;/keyword&gt;&lt;/keywords&gt;&lt;dates&gt;&lt;year&gt;2007&lt;/year&gt;&lt;/dates&gt;&lt;urls&gt;&lt;/urls&gt;&lt;electronic-resource-num&gt;10.1002/smj.640&lt;/electronic-resource-num&gt;&lt;/record&gt;&lt;/Cite&gt;&lt;/EndNote&gt;</w:instrText>
      </w:r>
      <w:r w:rsidRPr="005647CA">
        <w:rPr>
          <w:szCs w:val="20"/>
          <w:lang w:val="es-ES_tradnl"/>
        </w:rPr>
        <w:fldChar w:fldCharType="separate"/>
      </w:r>
      <w:r w:rsidRPr="005647CA">
        <w:rPr>
          <w:szCs w:val="20"/>
          <w:lang w:val="es-ES_tradnl"/>
        </w:rPr>
        <w:t>Teece (2007)</w:t>
      </w:r>
      <w:r w:rsidRPr="005647CA">
        <w:rPr>
          <w:szCs w:val="20"/>
        </w:rPr>
        <w:fldChar w:fldCharType="end"/>
      </w:r>
      <w:r w:rsidRPr="005647CA">
        <w:rPr>
          <w:szCs w:val="20"/>
          <w:lang w:val="es-ES_tradnl"/>
        </w:rPr>
        <w:t xml:space="preserve">. </w:t>
      </w:r>
      <w:r w:rsidRPr="005647CA">
        <w:rPr>
          <w:szCs w:val="20"/>
          <w:lang w:val="es-MX"/>
        </w:rPr>
        <w:t xml:space="preserve"> Las entrevistas tuvieron lugar durante el mes de octubre de 2019 dentro de las instalaciones del CIDETEQ. La naturaleza semiestructurada de las entrevistas permitió reformular las preguntas cuando surgieron áreas previamente no contempladas en el curso de la discusión. Las preguntas que guiaron la entrevista fueron: ¿Qué habilidades considera necesarias para desarrollar el proceso de prospectiva tecnológica? ¿Qué métodos o herramientas utilizan para realizar la prospectiva tecnológica? ¿Qué fuentes de información se utilizan para realizar la prospectiva tecnológica? ¿Qué se hace con la información resultante de la prospectiva tecnológica? ¿Qué valor dan a la información obtenida del ejercicio de la prospectiva tecnológica?</w:t>
      </w:r>
    </w:p>
    <w:p w14:paraId="2E9CB2C2" w14:textId="4B7D5F9D" w:rsidR="005647CA" w:rsidRPr="005647CA" w:rsidRDefault="005647CA" w:rsidP="00791128">
      <w:pPr>
        <w:spacing w:line="360" w:lineRule="auto"/>
        <w:ind w:firstLine="708"/>
        <w:jc w:val="both"/>
        <w:rPr>
          <w:szCs w:val="20"/>
          <w:lang w:val="es-MX"/>
        </w:rPr>
      </w:pPr>
      <w:r w:rsidRPr="005647CA">
        <w:rPr>
          <w:szCs w:val="20"/>
          <w:lang w:val="es-MX"/>
        </w:rPr>
        <w:t xml:space="preserve">Para el análisis de los datos recolectados a través de la entrevista se utilizó el programa Atlas.ti (versión 8.4). Con este programa se construyeron representaciones teóricas y redes conceptuales. Las redes conceptuales son útiles para representar de una forma gráfica los conceptos que se desarrollan durante la investigación basándose en las conexiones entre códigos (Sabariego-Puig et al., 2014). </w:t>
      </w:r>
    </w:p>
    <w:p w14:paraId="77A795EE" w14:textId="77777777" w:rsidR="005647CA" w:rsidRPr="005C1920" w:rsidRDefault="005647CA" w:rsidP="005C1920">
      <w:pPr>
        <w:spacing w:line="360" w:lineRule="auto"/>
        <w:rPr>
          <w:rFonts w:ascii="Arial" w:hAnsi="Arial" w:cs="Arial"/>
          <w:sz w:val="20"/>
          <w:szCs w:val="20"/>
        </w:rPr>
      </w:pPr>
    </w:p>
    <w:p w14:paraId="30DE962D" w14:textId="061E5AF9" w:rsidR="005C1920" w:rsidRPr="00B60952" w:rsidRDefault="00B60952" w:rsidP="005C1920">
      <w:pPr>
        <w:spacing w:line="360" w:lineRule="auto"/>
        <w:rPr>
          <w:b/>
          <w:color w:val="244061"/>
          <w:sz w:val="28"/>
        </w:rPr>
      </w:pPr>
      <w:r>
        <w:rPr>
          <w:b/>
          <w:color w:val="244061"/>
          <w:sz w:val="28"/>
        </w:rPr>
        <w:t>4</w:t>
      </w:r>
      <w:r w:rsidR="005C1920" w:rsidRPr="00B60952">
        <w:rPr>
          <w:b/>
          <w:color w:val="244061"/>
          <w:sz w:val="28"/>
        </w:rPr>
        <w:t>. Resultados</w:t>
      </w:r>
    </w:p>
    <w:p w14:paraId="789A1AB2" w14:textId="77777777" w:rsidR="005647CA" w:rsidRPr="005647CA" w:rsidRDefault="005647CA" w:rsidP="005647CA">
      <w:pPr>
        <w:spacing w:line="360" w:lineRule="auto"/>
        <w:jc w:val="both"/>
        <w:rPr>
          <w:szCs w:val="20"/>
          <w:lang w:val="es-ES_tradnl"/>
        </w:rPr>
      </w:pPr>
      <w:r w:rsidRPr="005647CA">
        <w:rPr>
          <w:szCs w:val="20"/>
          <w:lang w:val="es-ES_tradnl"/>
        </w:rPr>
        <w:t>En la organización estudiada, el desarrollo de prospectiva tecnológica nace debido a la necesidad de los investigadores de conseguir proyectos de investigación que pudieran financiar a la organización. Se detecta que en el entorno en el cual se desenvuelve la organización es necesario que cuenten con un alto impacto de investigación para poder ser financiados tanto por el gobierno como por organizaciones privadas. La organización detecta que este impacto lo consigue estando a la vanguardia en investigación y desarrollos tecnológicos conseguida por medio de la prospectiva tecnológica.</w:t>
      </w:r>
    </w:p>
    <w:p w14:paraId="39F0C992" w14:textId="77777777" w:rsidR="005647CA" w:rsidRPr="005647CA" w:rsidRDefault="005647CA" w:rsidP="00791128">
      <w:pPr>
        <w:spacing w:line="360" w:lineRule="auto"/>
        <w:ind w:firstLine="708"/>
        <w:jc w:val="both"/>
        <w:rPr>
          <w:szCs w:val="20"/>
          <w:lang w:val="es-ES_tradnl"/>
        </w:rPr>
      </w:pPr>
      <w:r w:rsidRPr="005647CA">
        <w:rPr>
          <w:szCs w:val="20"/>
          <w:lang w:val="es-ES_tradnl"/>
        </w:rPr>
        <w:lastRenderedPageBreak/>
        <w:t xml:space="preserve">Para que una capacidad de una organización sea dinámica, se identifican los siguientes factores clave: 1) es una capacidad construida y no comprada, 2) integra recursos, 3) reconfigura recursos, 4) gana recursos y 5) permitir adaptarse a un entorno dinámico o incluso crear cambios en este. Como ya se mencionó durante la revisión de literatura, una característica de la prospectiva tecnológica es que son sistemas difíciles de implementar en donde pocas empresas tienen éxito, además, una parte fundamental de las capacidades dinámicas es que se deben de encontrar integradas a la cultura organizacional </w:t>
      </w:r>
      <w:r w:rsidRPr="005647CA">
        <w:rPr>
          <w:szCs w:val="20"/>
          <w:lang w:val="es-ES_tradnl"/>
        </w:rPr>
        <w:fldChar w:fldCharType="begin"/>
      </w:r>
      <w:r w:rsidRPr="005647CA">
        <w:rPr>
          <w:szCs w:val="20"/>
          <w:lang w:val="es-ES_tradnl"/>
        </w:rPr>
        <w:instrText xml:space="preserve"> ADDIN EN.CITE &lt;EndNote&gt;&lt;Cite&gt;&lt;Author&gt;Bravo&lt;/Author&gt;&lt;Year&gt;2009&lt;/Year&gt;&lt;RecNum&gt;423&lt;/RecNum&gt;&lt;DisplayText&gt;(Bravo &amp;amp; Herrera, 2009)&lt;/DisplayText&gt;&lt;record&gt;&lt;rec-number&gt;423&lt;/rec-number&gt;&lt;foreign-keys&gt;&lt;key app="EN" db-id="xzeaxr220pp5w7eap54pxr5dazzat5fe2xae" timestamp="1623371589"&gt;423&lt;/key&gt;&lt;/foreign-keys&gt;&lt;ref-type name="Conference Proceedings"&gt;10&lt;/ref-type&gt;&lt;contributors&gt;&lt;authors&gt;&lt;author&gt;Bravo, Edna&lt;/author&gt;&lt;author&gt;Herrera, Liliana&lt;/author&gt;&lt;/authors&gt;&lt;/contributors&gt;&lt;titles&gt;&lt;title&gt;Generación de capacidades dinámicas mediante la innovación organizacional: Un múltiple estudio de casos exploratorio&lt;/title&gt;&lt;secondary-title&gt;XIII Congreso de Ingeniería de Organización&lt;/secondary-title&gt;&lt;/titles&gt;&lt;pages&gt;195-205&lt;/pages&gt;&lt;dates&gt;&lt;year&gt;2009&lt;/year&gt;&lt;/dates&gt;&lt;urls&gt;&lt;/urls&gt;&lt;/record&gt;&lt;/Cite&gt;&lt;/EndNote&gt;</w:instrText>
      </w:r>
      <w:r w:rsidRPr="005647CA">
        <w:rPr>
          <w:szCs w:val="20"/>
          <w:lang w:val="es-ES_tradnl"/>
        </w:rPr>
        <w:fldChar w:fldCharType="separate"/>
      </w:r>
      <w:r w:rsidRPr="005647CA">
        <w:rPr>
          <w:szCs w:val="20"/>
          <w:lang w:val="es-ES_tradnl"/>
        </w:rPr>
        <w:t>(Bravo &amp; Herrera, 2009)</w:t>
      </w:r>
      <w:r w:rsidRPr="005647CA">
        <w:rPr>
          <w:szCs w:val="20"/>
        </w:rPr>
        <w:fldChar w:fldCharType="end"/>
      </w:r>
      <w:r w:rsidRPr="005647CA">
        <w:rPr>
          <w:szCs w:val="20"/>
          <w:lang w:val="es-ES_tradnl"/>
        </w:rPr>
        <w:t xml:space="preserve">, esta es otra característica que comparten los conceptos de capacidades dinámicas y prospectiva tecnológica, ya que de acuerdo a </w:t>
      </w:r>
      <w:r w:rsidRPr="005647CA">
        <w:rPr>
          <w:szCs w:val="20"/>
          <w:lang w:val="es-ES_tradnl"/>
        </w:rPr>
        <w:fldChar w:fldCharType="begin"/>
      </w:r>
      <w:r w:rsidRPr="005647CA">
        <w:rPr>
          <w:szCs w:val="20"/>
          <w:lang w:val="es-ES_tradnl"/>
        </w:rPr>
        <w:instrText xml:space="preserve"> ADDIN EN.CITE &lt;EndNote&gt;&lt;Cite AuthorYear="1"&gt;&lt;Author&gt;Wiener&lt;/Author&gt;&lt;Year&gt;2018&lt;/Year&gt;&lt;RecNum&gt;424&lt;/RecNum&gt;&lt;DisplayText&gt;Wiener (2018)&lt;/DisplayText&gt;&lt;record&gt;&lt;rec-number&gt;424&lt;/rec-number&gt;&lt;foreign-keys&gt;&lt;key app="EN" db-id="xzeaxr220pp5w7eap54pxr5dazzat5fe2xae" timestamp="1623371899"&gt;424&lt;/key&gt;&lt;/foreign-keys&gt;&lt;ref-type name="Journal Article"&gt;17&lt;/ref-type&gt;&lt;contributors&gt;&lt;authors&gt;&lt;author&gt;Wiener, Melanie&lt;/author&gt;&lt;/authors&gt;&lt;/contributors&gt;&lt;titles&gt;&lt;title&gt;Open foresight: The influence of organizational context&lt;/title&gt;&lt;secondary-title&gt;Creativity and Innovation Management&lt;/secondary-title&gt;&lt;/titles&gt;&lt;periodical&gt;&lt;full-title&gt;Creativity and Innovation Management&lt;/full-title&gt;&lt;/periodical&gt;&lt;pages&gt;56-68&lt;/pages&gt;&lt;volume&gt;27&lt;/volume&gt;&lt;number&gt;1&lt;/number&gt;&lt;dates&gt;&lt;year&gt;2018&lt;/year&gt;&lt;/dates&gt;&lt;isbn&gt;0963-1690&lt;/isbn&gt;&lt;urls&gt;&lt;related-urls&gt;&lt;url&gt;https://onlinelibrary.wiley.com/doi/abs/10.1111/caim.12238&lt;/url&gt;&lt;/related-urls&gt;&lt;/urls&gt;&lt;electronic-resource-num&gt;https://doi.org/10.1111/caim.12238&lt;/electronic-resource-num&gt;&lt;/record&gt;&lt;/Cite&gt;&lt;/EndNote&gt;</w:instrText>
      </w:r>
      <w:r w:rsidRPr="005647CA">
        <w:rPr>
          <w:szCs w:val="20"/>
          <w:lang w:val="es-ES_tradnl"/>
        </w:rPr>
        <w:fldChar w:fldCharType="separate"/>
      </w:r>
      <w:r w:rsidRPr="005647CA">
        <w:rPr>
          <w:szCs w:val="20"/>
          <w:lang w:val="es-ES_tradnl"/>
        </w:rPr>
        <w:t>Wiener (2018)</w:t>
      </w:r>
      <w:r w:rsidRPr="005647CA">
        <w:rPr>
          <w:szCs w:val="20"/>
        </w:rPr>
        <w:fldChar w:fldCharType="end"/>
      </w:r>
      <w:r w:rsidRPr="005647CA">
        <w:rPr>
          <w:szCs w:val="20"/>
          <w:lang w:val="es-ES_tradnl"/>
        </w:rPr>
        <w:t xml:space="preserve">, para que en una organización se de el proceso de prospectiva, este debe de estar presente en la cultura organizacional para que se pueda valorar el conocimiento y su uso de manera eficaz y eficiente.  </w:t>
      </w:r>
    </w:p>
    <w:p w14:paraId="5479B356"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La dificultad de la prospectiva tecnológica radica en que se necesita conjuntar conocimiento técnico acerca del tema abordado y una alta experiencia para poder dar sentido a la información que se obtiene. Si bien </w:t>
      </w:r>
      <w:proofErr w:type="spellStart"/>
      <w:r w:rsidRPr="005647CA">
        <w:rPr>
          <w:szCs w:val="20"/>
          <w:lang w:val="es-ES_tradnl"/>
        </w:rPr>
        <w:t>Semke</w:t>
      </w:r>
      <w:proofErr w:type="spellEnd"/>
      <w:r w:rsidRPr="005647CA">
        <w:rPr>
          <w:szCs w:val="20"/>
          <w:lang w:val="es-ES_tradnl"/>
        </w:rPr>
        <w:t xml:space="preserve"> y </w:t>
      </w:r>
      <w:proofErr w:type="spellStart"/>
      <w:r w:rsidRPr="005647CA">
        <w:rPr>
          <w:szCs w:val="20"/>
          <w:lang w:val="es-ES_tradnl"/>
        </w:rPr>
        <w:t>Tiberius</w:t>
      </w:r>
      <w:proofErr w:type="spellEnd"/>
      <w:r w:rsidRPr="005647CA">
        <w:rPr>
          <w:szCs w:val="20"/>
          <w:lang w:val="es-ES_tradnl"/>
        </w:rPr>
        <w:t xml:space="preserve"> (2020)  logran estudiar a la prospectiva tecnológica como un micro fundamento de las capacidades dinámicas, este se hace desde la perspectiva gerencial o de liderazgo de las empresas, el presente trabajo logra aterrizar algunos de los conceptos propuestos por estos autores como la integración de la prospectiva en las habilidades y tecnologías de la gerencia a un nivel operacional, en donde la implicación de ver a la prospectiva tecnológica como una capacidad dinámica a un nivel operacional ayuda a las organizaciones a crear conocimiento técnico, poder codificar este conocimiento, definir los roles de los miembros de la organización para utilizar este conocimiento y socializar dentro de la organización el conocimiento para que la prospectiva tecnológica forme parte de los valores y normas de la organización. En el centro de investigación estudiado la prospectiva tecnológica tiene lugar hasta que un experto en inteligencia tecnológica con capacidad para interpretar la información se integra a la organización. Debido a la especificidad de los temas que desarrolla la organización se requiere un nivel alto de conocimientos técnicos, estos conocimientos técnicos son inherentes a los investigadores que tienen una amplia experiencia a nivel internacional. Por lo tanto en el caso de la organización estudiada, la prospectiva tecnológica es el resultado del desarrollo de </w:t>
      </w:r>
      <w:r w:rsidRPr="005647CA">
        <w:rPr>
          <w:szCs w:val="20"/>
          <w:lang w:val="es-ES_tradnl"/>
        </w:rPr>
        <w:lastRenderedPageBreak/>
        <w:t xml:space="preserve">conocimiento técnico y de interpretación generado a través de varios años y que no puede ser comprado ni imitado, únicamente puede ser construido debido a las características propias de la organización. </w:t>
      </w:r>
    </w:p>
    <w:p w14:paraId="010675F7"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Una de las características de la prospectiva tecnológica es crear proyectos de investigación interdepartamentales. En este mismo sentido, las capacidades dinámicas tienden a integrar recursos. En el centro de investigación, uno de los resultados de la prospectiva tecnológica fue integrar coordinaciones en subdirecciones. De tener siete coordinaciones, la organización pasa a tener 4 subdirecciones, atendiendo a las áreas estratégicas reconocidas en el ejercicio de prospectiva. La reducción de coordinaciones permitió a la organización enfocarse a áreas con gran potencial de crecimiento que les permitió desarrollar proyectos con un gran valor en el entorno de la organización. </w:t>
      </w:r>
    </w:p>
    <w:p w14:paraId="3C452978"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Otro objetivo de las capacidades dinámicas es reconfigurar recursos existentes de la organización. De igual forma la prospectiva tecnológica permite modificar programas de investigación existentes de acuerdo a las necesidades identificadas por el ejercicio. En el caso del centro de investigación se detectó que una tendencia en los próximos años sería la utilización de materiales de adsorción para el tratamiento de agua. Por lo tanto se tuvo que dar una reconfiguración de las capacidades del centro de investigación para poder abordar este tema. </w:t>
      </w:r>
    </w:p>
    <w:p w14:paraId="004A93F8"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Un objetivo final de la prospectiva tecnológica es crear nuevas proyectos líneas de investigación. Para crear nuevas líneas de investigación es necesario crear nuevos recursos que permitan sostener su creación. De la misma forma, un objetivo de las capacidades dinámicas es crear recursos. Dentro del caso de estudio, la prospectiva tecnológica ayudó a identificar el área de </w:t>
      </w:r>
      <w:proofErr w:type="spellStart"/>
      <w:r w:rsidRPr="005647CA">
        <w:rPr>
          <w:szCs w:val="20"/>
          <w:lang w:val="es-ES_tradnl"/>
        </w:rPr>
        <w:t>bioelectrónica</w:t>
      </w:r>
      <w:proofErr w:type="spellEnd"/>
      <w:r w:rsidRPr="005647CA">
        <w:rPr>
          <w:szCs w:val="20"/>
          <w:lang w:val="es-ES_tradnl"/>
        </w:rPr>
        <w:t xml:space="preserve"> como un área de prioridad para el centro de investigación. Esto obligó a la empresa a crear un laboratorio integrado de </w:t>
      </w:r>
      <w:proofErr w:type="spellStart"/>
      <w:r w:rsidRPr="005647CA">
        <w:rPr>
          <w:szCs w:val="20"/>
          <w:lang w:val="es-ES_tradnl"/>
        </w:rPr>
        <w:t>bioelectroquímica</w:t>
      </w:r>
      <w:proofErr w:type="spellEnd"/>
      <w:r w:rsidRPr="005647CA">
        <w:rPr>
          <w:szCs w:val="20"/>
          <w:lang w:val="es-ES_tradnl"/>
        </w:rPr>
        <w:t xml:space="preserve"> para poder investigar esta línea. De la misma forma se tuvieron que crear recursos intangibles como una cátedra y conocimientos de ciencia básica acerca del tema. Otro resultado de la creación de la línea de investigación de la </w:t>
      </w:r>
      <w:proofErr w:type="spellStart"/>
      <w:r w:rsidRPr="005647CA">
        <w:rPr>
          <w:szCs w:val="20"/>
          <w:lang w:val="es-ES_tradnl"/>
        </w:rPr>
        <w:t>bioelectrónica</w:t>
      </w:r>
      <w:proofErr w:type="spellEnd"/>
      <w:r w:rsidRPr="005647CA">
        <w:rPr>
          <w:szCs w:val="20"/>
          <w:lang w:val="es-ES_tradnl"/>
        </w:rPr>
        <w:t xml:space="preserve"> fue el reconocimiento por parte del gobierno mexicano de que la </w:t>
      </w:r>
      <w:proofErr w:type="spellStart"/>
      <w:r w:rsidRPr="005647CA">
        <w:rPr>
          <w:szCs w:val="20"/>
          <w:lang w:val="es-ES_tradnl"/>
        </w:rPr>
        <w:t>bioelectrónica</w:t>
      </w:r>
      <w:proofErr w:type="spellEnd"/>
      <w:r w:rsidRPr="005647CA">
        <w:rPr>
          <w:szCs w:val="20"/>
          <w:lang w:val="es-ES_tradnl"/>
        </w:rPr>
        <w:t xml:space="preserve"> es un área con un gran potencial de desarrollo.  Este reconocimiento tuvo como consecuencia un apoyo económico. Lo anterior esta relacionado con la característica de las capacidades dinámicas relativas a ganar nuevos recursos. </w:t>
      </w:r>
    </w:p>
    <w:p w14:paraId="56C6C1DF" w14:textId="77777777" w:rsidR="005647CA" w:rsidRPr="005647CA" w:rsidRDefault="005647CA" w:rsidP="00791128">
      <w:pPr>
        <w:spacing w:line="360" w:lineRule="auto"/>
        <w:ind w:firstLine="708"/>
        <w:jc w:val="both"/>
        <w:rPr>
          <w:szCs w:val="20"/>
          <w:lang w:val="es-ES_tradnl"/>
        </w:rPr>
      </w:pPr>
      <w:r w:rsidRPr="005647CA">
        <w:rPr>
          <w:szCs w:val="20"/>
          <w:lang w:val="es-ES_tradnl"/>
        </w:rPr>
        <w:lastRenderedPageBreak/>
        <w:t xml:space="preserve">El fin último de la prospectiva tecnológica es permitir a las organizaciones explorar y explotar nuevas oportunidades de negocios antes que sus competidores que carecen de este recurso. Hablando de las capacidades dinámicas, uno de sus objetivos es permanecer o crear cambios en el mercado. Al explorar y explotar nuevas oportunidades de negocio, la prospectiva tecnológica permite a la organización anticiparse y estar preparados para los cambios en el entorno. Para el caso el centro de investigación, han notado que la electroquímica y los desarrollos tecnológicos en estas áreas a nivel internacional, están dirigidos al estudio de materiales avanzados resistentes a la corrosión dirigida a la industria aeronáutica y automotriz. Como consecuencia se han preparado para abordar esta línea de investigación en los próximos años y de esta forma adaptarse a los cambios en el entorno. En la Tabla 1 se resumen las características de la prospectiva tecnológica que permiten verla como una capacidad dinámica. </w:t>
      </w:r>
    </w:p>
    <w:p w14:paraId="474CC769" w14:textId="77777777" w:rsidR="005647CA" w:rsidRPr="005647CA" w:rsidRDefault="005647CA" w:rsidP="005647CA">
      <w:pPr>
        <w:spacing w:line="360" w:lineRule="auto"/>
        <w:jc w:val="both"/>
        <w:rPr>
          <w:szCs w:val="20"/>
          <w:lang w:val="es-ES_tradnl"/>
        </w:rPr>
      </w:pPr>
    </w:p>
    <w:p w14:paraId="678AECBF" w14:textId="77777777" w:rsidR="005647CA" w:rsidRPr="005647CA" w:rsidRDefault="005647CA" w:rsidP="005647CA">
      <w:pPr>
        <w:spacing w:line="360" w:lineRule="auto"/>
        <w:jc w:val="both"/>
        <w:rPr>
          <w:szCs w:val="20"/>
          <w:lang w:val="es-ES_tradnl"/>
        </w:rPr>
      </w:pPr>
      <w:r w:rsidRPr="005647CA">
        <w:rPr>
          <w:szCs w:val="20"/>
          <w:lang w:val="es-ES_tradnl"/>
        </w:rPr>
        <w:t>Tabla 1. Características que permiten a la prospectiva tecnológica ser una capacidad dinámica</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4376"/>
        <w:gridCol w:w="4394"/>
      </w:tblGrid>
      <w:tr w:rsidR="005647CA" w:rsidRPr="005647CA" w14:paraId="2129B05C" w14:textId="77777777" w:rsidTr="00326F5E">
        <w:tc>
          <w:tcPr>
            <w:tcW w:w="4489" w:type="dxa"/>
          </w:tcPr>
          <w:p w14:paraId="57A940EA" w14:textId="77777777" w:rsidR="005647CA" w:rsidRPr="005647CA" w:rsidRDefault="005647CA" w:rsidP="005647CA">
            <w:pPr>
              <w:spacing w:line="360" w:lineRule="auto"/>
              <w:jc w:val="both"/>
              <w:rPr>
                <w:rFonts w:cs="Times New Roman"/>
                <w:b/>
                <w:szCs w:val="20"/>
                <w:lang w:val="es-ES_tradnl"/>
              </w:rPr>
            </w:pPr>
            <w:r w:rsidRPr="005647CA">
              <w:rPr>
                <w:rFonts w:cs="Times New Roman"/>
                <w:b/>
                <w:szCs w:val="20"/>
                <w:lang w:val="es-ES_tradnl"/>
              </w:rPr>
              <w:t>Características de las capacidades dinámicas</w:t>
            </w:r>
          </w:p>
        </w:tc>
        <w:tc>
          <w:tcPr>
            <w:tcW w:w="4489" w:type="dxa"/>
          </w:tcPr>
          <w:p w14:paraId="132C2F92" w14:textId="77777777" w:rsidR="005647CA" w:rsidRPr="005647CA" w:rsidRDefault="005647CA" w:rsidP="005647CA">
            <w:pPr>
              <w:spacing w:line="360" w:lineRule="auto"/>
              <w:jc w:val="both"/>
              <w:rPr>
                <w:rFonts w:cs="Times New Roman"/>
                <w:b/>
                <w:szCs w:val="20"/>
                <w:lang w:val="es-ES_tradnl"/>
              </w:rPr>
            </w:pPr>
            <w:r w:rsidRPr="005647CA">
              <w:rPr>
                <w:rFonts w:cs="Times New Roman"/>
                <w:b/>
                <w:szCs w:val="20"/>
                <w:lang w:val="es-ES_tradnl"/>
              </w:rPr>
              <w:t xml:space="preserve">Características de la prospectiva tecnológica </w:t>
            </w:r>
          </w:p>
        </w:tc>
      </w:tr>
      <w:tr w:rsidR="005647CA" w:rsidRPr="005647CA" w14:paraId="4DD5991B" w14:textId="77777777" w:rsidTr="00326F5E">
        <w:tc>
          <w:tcPr>
            <w:tcW w:w="4489" w:type="dxa"/>
          </w:tcPr>
          <w:p w14:paraId="575F755D"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Capacidad construida y no comprada</w:t>
            </w:r>
          </w:p>
        </w:tc>
        <w:tc>
          <w:tcPr>
            <w:tcW w:w="4489" w:type="dxa"/>
          </w:tcPr>
          <w:p w14:paraId="0426569E"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Los conocimientos para la prospectiva son construidos a través de la experiencia</w:t>
            </w:r>
          </w:p>
        </w:tc>
      </w:tr>
      <w:tr w:rsidR="005647CA" w:rsidRPr="005647CA" w14:paraId="3424365D" w14:textId="77777777" w:rsidTr="00326F5E">
        <w:tc>
          <w:tcPr>
            <w:tcW w:w="4489" w:type="dxa"/>
          </w:tcPr>
          <w:p w14:paraId="165F7302"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Integra recursos</w:t>
            </w:r>
          </w:p>
        </w:tc>
        <w:tc>
          <w:tcPr>
            <w:tcW w:w="4489" w:type="dxa"/>
          </w:tcPr>
          <w:p w14:paraId="66CBD12A"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Integra proyectos de investigación y desarrollo interdepartamentales de cuerdo a las tendencias futuras detectadas.</w:t>
            </w:r>
          </w:p>
        </w:tc>
      </w:tr>
      <w:tr w:rsidR="005647CA" w:rsidRPr="005647CA" w14:paraId="5BE7C04D" w14:textId="77777777" w:rsidTr="00326F5E">
        <w:tc>
          <w:tcPr>
            <w:tcW w:w="4489" w:type="dxa"/>
          </w:tcPr>
          <w:p w14:paraId="6C465C28"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Reconfigura recursos</w:t>
            </w:r>
          </w:p>
        </w:tc>
        <w:tc>
          <w:tcPr>
            <w:tcW w:w="4489" w:type="dxa"/>
          </w:tcPr>
          <w:p w14:paraId="624A6A95"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Permite modificar programas de investigación existentes de acuerdo a las necesidades identificadas</w:t>
            </w:r>
          </w:p>
        </w:tc>
      </w:tr>
      <w:tr w:rsidR="005647CA" w:rsidRPr="005647CA" w14:paraId="1B91B7A6" w14:textId="77777777" w:rsidTr="00326F5E">
        <w:tc>
          <w:tcPr>
            <w:tcW w:w="4489" w:type="dxa"/>
          </w:tcPr>
          <w:p w14:paraId="64C93292"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Ganar recursos</w:t>
            </w:r>
          </w:p>
        </w:tc>
        <w:tc>
          <w:tcPr>
            <w:tcW w:w="4489" w:type="dxa"/>
          </w:tcPr>
          <w:p w14:paraId="15A5FAC3"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Permite la atracción de nuevos recursos al generar tecnologías y conocimiento nuevo</w:t>
            </w:r>
          </w:p>
        </w:tc>
      </w:tr>
      <w:tr w:rsidR="005647CA" w:rsidRPr="005647CA" w14:paraId="3FF05923" w14:textId="77777777" w:rsidTr="00326F5E">
        <w:tc>
          <w:tcPr>
            <w:tcW w:w="4489" w:type="dxa"/>
          </w:tcPr>
          <w:p w14:paraId="403F269C"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Permite adaptarse y crear cambios en el entorno</w:t>
            </w:r>
          </w:p>
        </w:tc>
        <w:tc>
          <w:tcPr>
            <w:tcW w:w="4489" w:type="dxa"/>
          </w:tcPr>
          <w:p w14:paraId="51B8F734" w14:textId="77777777" w:rsidR="005647CA" w:rsidRPr="005647CA" w:rsidRDefault="005647CA" w:rsidP="005647CA">
            <w:pPr>
              <w:spacing w:line="360" w:lineRule="auto"/>
              <w:jc w:val="both"/>
              <w:rPr>
                <w:rFonts w:cs="Times New Roman"/>
                <w:szCs w:val="20"/>
                <w:lang w:val="es-ES_tradnl"/>
              </w:rPr>
            </w:pPr>
            <w:r w:rsidRPr="005647CA">
              <w:rPr>
                <w:rFonts w:cs="Times New Roman"/>
                <w:szCs w:val="20"/>
                <w:lang w:val="es-ES_tradnl"/>
              </w:rPr>
              <w:t xml:space="preserve">Permite conocer los cambios en el entrono antes de que estos sucedan, lo que provoca que las organizaciones estén preparadas para los cambios. </w:t>
            </w:r>
          </w:p>
        </w:tc>
      </w:tr>
    </w:tbl>
    <w:p w14:paraId="029865FD" w14:textId="77777777" w:rsidR="005647CA" w:rsidRPr="005647CA" w:rsidRDefault="005647CA" w:rsidP="005647CA">
      <w:pPr>
        <w:spacing w:line="360" w:lineRule="auto"/>
        <w:jc w:val="both"/>
        <w:rPr>
          <w:szCs w:val="20"/>
          <w:lang w:val="es-ES_tradnl"/>
        </w:rPr>
      </w:pPr>
      <w:r w:rsidRPr="005647CA">
        <w:rPr>
          <w:szCs w:val="20"/>
          <w:lang w:val="es-ES_tradnl"/>
        </w:rPr>
        <w:lastRenderedPageBreak/>
        <w:t xml:space="preserve">Fuente: Elaboración propia. </w:t>
      </w:r>
    </w:p>
    <w:p w14:paraId="2B8D5F52" w14:textId="77777777" w:rsidR="005647CA" w:rsidRPr="005647CA" w:rsidRDefault="005647CA" w:rsidP="005647CA">
      <w:pPr>
        <w:spacing w:line="360" w:lineRule="auto"/>
        <w:jc w:val="both"/>
        <w:rPr>
          <w:szCs w:val="20"/>
          <w:lang w:val="es-ES_tradnl"/>
        </w:rPr>
      </w:pPr>
    </w:p>
    <w:p w14:paraId="698EA069"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Como ya de ha mencionado durante el presente trabajo, la prospectiva tecnológica tiene como fin influir y apoyar las decisiones administrativas respecto a los recursos que se destinarán a investigación y tecnología. Para cumplir con su propósito, la prospectiva selecciona, filtra, analiza e interpreta información. Sin embargo como ya se ha discutido en este trabajo, estas actividades pueden diferir o cambias según la organización. De acuerdo a </w:t>
      </w:r>
      <w:r w:rsidRPr="005647CA">
        <w:rPr>
          <w:szCs w:val="20"/>
          <w:lang w:val="es-ES_tradnl"/>
        </w:rPr>
        <w:fldChar w:fldCharType="begin"/>
      </w:r>
      <w:r w:rsidRPr="005647CA">
        <w:rPr>
          <w:szCs w:val="20"/>
          <w:lang w:val="es-ES_tradnl"/>
        </w:rPr>
        <w:instrText xml:space="preserve"> ADDIN EN.CITE &lt;EndNote&gt;&lt;Cite AuthorYear="1"&gt;&lt;Author&gt;Teece&lt;/Author&gt;&lt;Year&gt;2007&lt;/Year&gt;&lt;RecNum&gt;16&lt;/RecNum&gt;&lt;DisplayText&gt;Teece (2007)&lt;/DisplayText&gt;&lt;record&gt;&lt;rec-number&gt;16&lt;/rec-number&gt;&lt;foreign-keys&gt;&lt;key app="EN" db-id="xzeaxr220pp5w7eap54pxr5dazzat5fe2xae" timestamp="1523592282"&gt;16&lt;/key&gt;&lt;key app="ENWeb" db-id=""&gt;0&lt;/key&gt;&lt;/foreign-keys&gt;&lt;ref-type name="Journal Article"&gt;17&lt;/ref-type&gt;&lt;contributors&gt;&lt;authors&gt;&lt;author&gt;David J. Teece&lt;/author&gt;&lt;/authors&gt;&lt;/contributors&gt;&lt;titles&gt;&lt;title&gt;EXPLICATING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Journal&lt;/full-title&gt;&lt;/periodical&gt;&lt;pages&gt;1319-1350&lt;/pages&gt;&lt;volume&gt;28&lt;/volume&gt;&lt;number&gt;1&lt;/number&gt;&lt;keywords&gt;&lt;keyword&gt;dynamic capabilities&lt;/keyword&gt;&lt;/keywords&gt;&lt;dates&gt;&lt;year&gt;2007&lt;/year&gt;&lt;/dates&gt;&lt;urls&gt;&lt;/urls&gt;&lt;electronic-resource-num&gt;10.1002/smj.640&lt;/electronic-resource-num&gt;&lt;/record&gt;&lt;/Cite&gt;&lt;/EndNote&gt;</w:instrText>
      </w:r>
      <w:r w:rsidRPr="005647CA">
        <w:rPr>
          <w:szCs w:val="20"/>
          <w:lang w:val="es-ES_tradnl"/>
        </w:rPr>
        <w:fldChar w:fldCharType="separate"/>
      </w:r>
      <w:r w:rsidRPr="005647CA">
        <w:rPr>
          <w:szCs w:val="20"/>
          <w:lang w:val="es-ES_tradnl"/>
        </w:rPr>
        <w:t>Teece (2007)</w:t>
      </w:r>
      <w:r w:rsidRPr="005647CA">
        <w:rPr>
          <w:szCs w:val="20"/>
        </w:rPr>
        <w:fldChar w:fldCharType="end"/>
      </w:r>
      <w:r w:rsidRPr="005647CA">
        <w:rPr>
          <w:szCs w:val="20"/>
          <w:lang w:val="es-ES_tradnl"/>
        </w:rPr>
        <w:t xml:space="preserve"> la capacidad dinámica para detectar oportunidades (</w:t>
      </w:r>
      <w:proofErr w:type="spellStart"/>
      <w:r w:rsidRPr="005647CA">
        <w:rPr>
          <w:i/>
          <w:szCs w:val="20"/>
          <w:lang w:val="es-ES_tradnl"/>
        </w:rPr>
        <w:t>sensing</w:t>
      </w:r>
      <w:proofErr w:type="spellEnd"/>
      <w:r w:rsidRPr="005647CA">
        <w:rPr>
          <w:szCs w:val="20"/>
          <w:lang w:val="es-ES_tradnl"/>
        </w:rPr>
        <w:t>) está conformada por las actividades de escanear, crear, aprender e interpretar. En el centro de investigación estudiado, la prospectiva tecnológica se desarrolla mediante las actividades de 1) selección y filtración de la información, 2) análisis de la información e 3) interpretación de la información.</w:t>
      </w:r>
    </w:p>
    <w:p w14:paraId="678A4059" w14:textId="77777777" w:rsidR="005647CA" w:rsidRPr="005647CA" w:rsidRDefault="005647CA" w:rsidP="00791128">
      <w:pPr>
        <w:spacing w:line="360" w:lineRule="auto"/>
        <w:ind w:firstLine="708"/>
        <w:jc w:val="both"/>
        <w:rPr>
          <w:szCs w:val="20"/>
          <w:lang w:val="es-ES_tradnl"/>
        </w:rPr>
      </w:pPr>
      <w:r w:rsidRPr="005647CA">
        <w:rPr>
          <w:szCs w:val="20"/>
          <w:lang w:val="es-ES_tradnl"/>
        </w:rPr>
        <w:t>Se puede apreciar que la prospectiva tecnológica así como la capacidad dinámica para poder detectar oportunidades comparten actividades y objetivos en común como se muestra en la Figura 4. Por lo tanto la prospectiva tecnológica es una capacidad dinámica para detectar oportunidades (</w:t>
      </w:r>
      <w:proofErr w:type="spellStart"/>
      <w:r w:rsidRPr="005647CA">
        <w:rPr>
          <w:i/>
          <w:szCs w:val="20"/>
          <w:lang w:val="es-ES_tradnl"/>
        </w:rPr>
        <w:t>sensing</w:t>
      </w:r>
      <w:proofErr w:type="spellEnd"/>
      <w:r w:rsidRPr="005647CA">
        <w:rPr>
          <w:szCs w:val="20"/>
          <w:lang w:val="es-ES_tradnl"/>
        </w:rPr>
        <w:t xml:space="preserve">). </w:t>
      </w:r>
    </w:p>
    <w:p w14:paraId="7AE87C28" w14:textId="77777777" w:rsidR="005647CA" w:rsidRPr="005647CA" w:rsidRDefault="005647CA" w:rsidP="005647CA">
      <w:pPr>
        <w:spacing w:line="360" w:lineRule="auto"/>
        <w:jc w:val="both"/>
        <w:rPr>
          <w:szCs w:val="20"/>
          <w:lang w:val="es-ES_tradnl"/>
        </w:rPr>
      </w:pPr>
    </w:p>
    <w:p w14:paraId="2AB10D6D" w14:textId="77777777" w:rsidR="005647CA" w:rsidRPr="005647CA" w:rsidRDefault="005647CA" w:rsidP="005647CA">
      <w:pPr>
        <w:spacing w:line="360" w:lineRule="auto"/>
        <w:jc w:val="both"/>
        <w:rPr>
          <w:szCs w:val="20"/>
          <w:lang w:val="es-ES_tradnl"/>
        </w:rPr>
      </w:pPr>
      <w:r w:rsidRPr="005647CA">
        <w:rPr>
          <w:szCs w:val="20"/>
          <w:lang w:val="es-ES_tradnl"/>
        </w:rPr>
        <w:t xml:space="preserve">Figura 4. Comparación entre la prospectiva tecnológica y la capacidad dinámica </w:t>
      </w:r>
      <w:proofErr w:type="spellStart"/>
      <w:r w:rsidRPr="005647CA">
        <w:rPr>
          <w:szCs w:val="20"/>
          <w:lang w:val="es-ES_tradnl"/>
        </w:rPr>
        <w:t>sensing</w:t>
      </w:r>
      <w:proofErr w:type="spellEnd"/>
    </w:p>
    <w:p w14:paraId="655CE67D" w14:textId="77777777" w:rsidR="005647CA" w:rsidRPr="005647CA" w:rsidRDefault="005647CA" w:rsidP="005647CA">
      <w:pPr>
        <w:spacing w:line="360" w:lineRule="auto"/>
        <w:jc w:val="both"/>
        <w:rPr>
          <w:szCs w:val="20"/>
          <w:lang w:val="es-ES_tradnl"/>
        </w:rPr>
      </w:pPr>
      <w:r w:rsidRPr="005647CA">
        <w:rPr>
          <w:noProof/>
          <w:szCs w:val="20"/>
        </w:rPr>
        <w:drawing>
          <wp:inline distT="0" distB="0" distL="0" distR="0" wp14:anchorId="00D458DF" wp14:editId="6D620AF2">
            <wp:extent cx="5612130" cy="2486726"/>
            <wp:effectExtent l="12700" t="12700" r="13970" b="1524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486726"/>
                    </a:xfrm>
                    <a:prstGeom prst="rect">
                      <a:avLst/>
                    </a:prstGeom>
                    <a:noFill/>
                    <a:ln>
                      <a:solidFill>
                        <a:schemeClr val="tx1"/>
                      </a:solidFill>
                    </a:ln>
                  </pic:spPr>
                </pic:pic>
              </a:graphicData>
            </a:graphic>
          </wp:inline>
        </w:drawing>
      </w:r>
    </w:p>
    <w:p w14:paraId="380325B9" w14:textId="77777777" w:rsidR="005647CA" w:rsidRPr="005647CA" w:rsidRDefault="005647CA" w:rsidP="005647CA">
      <w:pPr>
        <w:spacing w:line="360" w:lineRule="auto"/>
        <w:jc w:val="both"/>
        <w:rPr>
          <w:szCs w:val="20"/>
          <w:lang w:val="es-ES_tradnl"/>
        </w:rPr>
      </w:pPr>
      <w:r w:rsidRPr="005647CA">
        <w:rPr>
          <w:szCs w:val="20"/>
          <w:lang w:val="es-ES_tradnl"/>
        </w:rPr>
        <w:t>Fuente: Elaboración propia</w:t>
      </w:r>
    </w:p>
    <w:p w14:paraId="65252084" w14:textId="77777777" w:rsidR="005647CA" w:rsidRPr="005647CA" w:rsidRDefault="005647CA" w:rsidP="005647CA">
      <w:pPr>
        <w:spacing w:line="360" w:lineRule="auto"/>
        <w:jc w:val="both"/>
        <w:rPr>
          <w:b/>
          <w:szCs w:val="20"/>
          <w:lang w:val="es-ES_tradnl"/>
        </w:rPr>
      </w:pPr>
    </w:p>
    <w:p w14:paraId="5C5D42B1" w14:textId="43F00EEE" w:rsidR="005647CA" w:rsidRDefault="005647CA" w:rsidP="00791128">
      <w:pPr>
        <w:spacing w:line="360" w:lineRule="auto"/>
        <w:ind w:firstLine="708"/>
        <w:jc w:val="both"/>
        <w:rPr>
          <w:szCs w:val="20"/>
          <w:lang w:val="es-ES_tradnl"/>
        </w:rPr>
      </w:pPr>
      <w:r w:rsidRPr="005647CA">
        <w:rPr>
          <w:szCs w:val="20"/>
          <w:lang w:val="es-ES_tradnl"/>
        </w:rPr>
        <w:lastRenderedPageBreak/>
        <w:t xml:space="preserve">Al igual que </w:t>
      </w:r>
      <w:r w:rsidRPr="005647CA">
        <w:rPr>
          <w:szCs w:val="20"/>
          <w:lang w:val="es-ES_tradnl"/>
        </w:rPr>
        <w:fldChar w:fldCharType="begin"/>
      </w:r>
      <w:r w:rsidRPr="005647CA">
        <w:rPr>
          <w:szCs w:val="20"/>
          <w:lang w:val="es-ES_tradnl"/>
        </w:rPr>
        <w:instrText xml:space="preserve"> ADDIN EN.CITE &lt;EndNote&gt;&lt;Cite AuthorYear="1"&gt;&lt;Author&gt;Leonard-Barton&lt;/Author&gt;&lt;Year&gt;1992&lt;/Year&gt;&lt;RecNum&gt;9&lt;/RecNum&gt;&lt;DisplayText&gt;Leonard-Barton (1992)&lt;/DisplayText&gt;&lt;record&gt;&lt;rec-number&gt;9&lt;/rec-number&gt;&lt;foreign-keys&gt;&lt;key app="EN" db-id="xzeaxr220pp5w7eap54pxr5dazzat5fe2xae" timestamp="1523592162"&gt;9&lt;/key&gt;&lt;key app="ENWeb" db-id=""&gt;0&lt;/key&gt;&lt;/foreign-keys&gt;&lt;ref-type name="Journal Article"&gt;17&lt;/ref-type&gt;&lt;contributors&gt;&lt;authors&gt;&lt;author&gt;Dorothy Leonard-Barton&lt;/author&gt;&lt;/authors&gt;&lt;/contributors&gt;&lt;titles&gt;&lt;title&gt;Core capabilities and core rigidities: A paradox in managing new product development&lt;/title&gt;&lt;secondary-title&gt;Strategic Management Journal&lt;/secondary-title&gt;&lt;/titles&gt;&lt;periodical&gt;&lt;full-title&gt;Strategic Management Journal&lt;/full-title&gt;&lt;/periodical&gt;&lt;pages&gt;111-125&lt;/pages&gt;&lt;volume&gt;13&lt;/volume&gt;&lt;number&gt;1&lt;/number&gt;&lt;keywords&gt;&lt;keyword&gt;Core capabilities&lt;/keyword&gt;&lt;keyword&gt;Core rigidities&lt;/keyword&gt;&lt;/keywords&gt;&lt;dates&gt;&lt;year&gt;1992&lt;/year&gt;&lt;/dates&gt;&lt;urls&gt;&lt;/urls&gt;&lt;electronic-resource-num&gt;10.1002/smj.4250131009&lt;/electronic-resource-num&gt;&lt;/record&gt;&lt;/Cite&gt;&lt;/EndNote&gt;</w:instrText>
      </w:r>
      <w:r w:rsidRPr="005647CA">
        <w:rPr>
          <w:szCs w:val="20"/>
          <w:lang w:val="es-ES_tradnl"/>
        </w:rPr>
        <w:fldChar w:fldCharType="separate"/>
      </w:r>
      <w:r w:rsidRPr="005647CA">
        <w:rPr>
          <w:szCs w:val="20"/>
          <w:lang w:val="es-ES_tradnl"/>
        </w:rPr>
        <w:t>Leonard-Barton (1992)</w:t>
      </w:r>
      <w:r w:rsidRPr="005647CA">
        <w:rPr>
          <w:szCs w:val="20"/>
        </w:rPr>
        <w:fldChar w:fldCharType="end"/>
      </w:r>
      <w:r w:rsidRPr="005647CA">
        <w:rPr>
          <w:szCs w:val="20"/>
          <w:lang w:val="es-ES_tradnl"/>
        </w:rPr>
        <w:t xml:space="preserve"> expone que las capacidades dinámicas deben de integrar, reconfigurar y transformar recursos, la prospectiva tecnológica en el caso del centro de investigación estudiado logra penetrar en estos mismo aspectos, lo que provoca los miembros de esta institución reconozcan el valor agregado de la prospectiva tecnológica lo que en este caso en particular la eleva a una capacidad dinámica para el centro de investigación. Por último, este estudio encuentra que la prospectiva tecnológica al ser una capacidad dinámica para el centro de investigación estudiado se integra en las estrategias de esta organización para dictar las políticas de futuras investigaciones, esto concuerda con el trabajo de </w:t>
      </w:r>
      <w:r w:rsidRPr="005647CA">
        <w:rPr>
          <w:szCs w:val="20"/>
          <w:lang w:val="es-ES_tradnl"/>
        </w:rPr>
        <w:fldChar w:fldCharType="begin"/>
      </w:r>
      <w:r w:rsidRPr="005647CA">
        <w:rPr>
          <w:szCs w:val="20"/>
          <w:lang w:val="es-ES_tradnl"/>
        </w:rPr>
        <w:instrText xml:space="preserve"> ADDIN EN.CITE &lt;EndNote&gt;&lt;Cite AuthorYear="1"&gt;&lt;Author&gt;Pineda&lt;/Author&gt;&lt;Year&gt;2013&lt;/Year&gt;&lt;RecNum&gt;393&lt;/RecNum&gt;&lt;DisplayText&gt;Pineda (2013)&lt;/DisplayText&gt;&lt;record&gt;&lt;rec-number&gt;393&lt;/rec-number&gt;&lt;foreign-keys&gt;&lt;key app="EN" db-id="xzeaxr220pp5w7eap54pxr5dazzat5fe2xae" timestamp="1592178996"&gt;393&lt;/key&gt;&lt;/foreign-keys&gt;&lt;ref-type name="Journal Article"&gt;17&lt;/ref-type&gt;&lt;contributors&gt;&lt;authors&gt;&lt;author&gt;Pineda, Leonardo&lt;/author&gt;&lt;/authors&gt;&lt;/contributors&gt;&lt;titles&gt;&lt;title&gt;PROSPECTIVA ESTRATÉGICA EN LA GESTIÓN DEL CONOCIMIENTO: UNA PROPUESTA PARA LOS GRUPOS DE INVESTIGACIÓN COLOMBIANOS&lt;/title&gt;&lt;secondary-title&gt;Investigación y Desarrollo&lt;/secondary-title&gt;&lt;/titles&gt;&lt;periodical&gt;&lt;full-title&gt;Investigación y Desarrollo&lt;/full-title&gt;&lt;/periodical&gt;&lt;pages&gt;237-311&lt;/pages&gt;&lt;volume&gt;21&lt;/volume&gt;&lt;dates&gt;&lt;year&gt;2013&lt;/year&gt;&lt;/dates&gt;&lt;isbn&gt;0121-3261&lt;/isbn&gt;&lt;urls&gt;&lt;related-urls&gt;&lt;url&gt;http://www.scielo.org.co/scielo.php?script=sci_arttext&amp;amp;pid=S0121-32612013000100010&amp;amp;nrm=iso&lt;/url&gt;&lt;/related-urls&gt;&lt;/urls&gt;&lt;/record&gt;&lt;/Cite&gt;&lt;/EndNote&gt;</w:instrText>
      </w:r>
      <w:r w:rsidRPr="005647CA">
        <w:rPr>
          <w:szCs w:val="20"/>
          <w:lang w:val="es-ES_tradnl"/>
        </w:rPr>
        <w:fldChar w:fldCharType="separate"/>
      </w:r>
      <w:r w:rsidRPr="005647CA">
        <w:rPr>
          <w:szCs w:val="20"/>
          <w:lang w:val="es-ES_tradnl"/>
        </w:rPr>
        <w:t>Pineda (2013)</w:t>
      </w:r>
      <w:r w:rsidRPr="005647CA">
        <w:rPr>
          <w:szCs w:val="20"/>
        </w:rPr>
        <w:fldChar w:fldCharType="end"/>
      </w:r>
      <w:r w:rsidRPr="005647CA">
        <w:rPr>
          <w:szCs w:val="20"/>
          <w:lang w:val="es-ES_tradnl"/>
        </w:rPr>
        <w:t xml:space="preserve"> en donde se estudian a los grupos de investigación en universidades colombianas, y concuerda que el concepto de prospectiva tecnológica debe de integrarse a las políticas y estrategias de estos cuerpos de investigación, integrar la prospectiva tecnológica ya sea a centros de investigación o a grupos de investigación puede ayudar a mejorar las políticas y estrategias tecnológicas de un país. </w:t>
      </w:r>
    </w:p>
    <w:p w14:paraId="75C8922D" w14:textId="77777777" w:rsidR="005C1920" w:rsidRDefault="005C1920" w:rsidP="005C1920">
      <w:pPr>
        <w:spacing w:line="360" w:lineRule="auto"/>
        <w:rPr>
          <w:rFonts w:ascii="Arial" w:hAnsi="Arial" w:cs="Arial"/>
          <w:i/>
          <w:sz w:val="20"/>
          <w:szCs w:val="20"/>
        </w:rPr>
      </w:pPr>
    </w:p>
    <w:p w14:paraId="2A9CCEFF" w14:textId="779FE2C9" w:rsidR="005C1920" w:rsidRPr="00B60952" w:rsidRDefault="00B60952" w:rsidP="005C1920">
      <w:pPr>
        <w:spacing w:line="360" w:lineRule="auto"/>
        <w:rPr>
          <w:b/>
          <w:color w:val="244061"/>
          <w:sz w:val="28"/>
        </w:rPr>
      </w:pPr>
      <w:r>
        <w:rPr>
          <w:b/>
          <w:color w:val="244061"/>
          <w:sz w:val="28"/>
        </w:rPr>
        <w:t>5</w:t>
      </w:r>
      <w:r w:rsidR="005C1920" w:rsidRPr="00B60952">
        <w:rPr>
          <w:b/>
          <w:color w:val="244061"/>
          <w:sz w:val="28"/>
        </w:rPr>
        <w:t>. Conclusiones</w:t>
      </w:r>
      <w:r>
        <w:rPr>
          <w:b/>
          <w:color w:val="244061"/>
          <w:sz w:val="28"/>
        </w:rPr>
        <w:t xml:space="preserve"> </w:t>
      </w:r>
    </w:p>
    <w:p w14:paraId="5BB84743" w14:textId="77777777" w:rsidR="005647CA" w:rsidRPr="005647CA" w:rsidRDefault="005647CA" w:rsidP="005647CA">
      <w:pPr>
        <w:spacing w:line="360" w:lineRule="auto"/>
        <w:jc w:val="both"/>
        <w:rPr>
          <w:szCs w:val="20"/>
          <w:lang w:val="es-ES_tradnl"/>
        </w:rPr>
      </w:pPr>
      <w:r w:rsidRPr="005647CA">
        <w:rPr>
          <w:szCs w:val="20"/>
          <w:lang w:val="es-ES_tradnl"/>
        </w:rPr>
        <w:t xml:space="preserve">El objetivo del presente trabajo era relacionar el concepto de prospectiva tecnológica con las capacidades dinámicas dentro del centro de investigación estudiado, se concluye que la prospectiva tecnológica dentro del centro de investigación estudiado es una capacidad dinámica construida capaz de integrar, reconfigurar y ganar recursos que permiten adaptarse al entorno de la organización. Dentro de las capacidades dinámicas, la prospectiva tecnológica se puede clasificar como una capacidad para detectar oportunidades. Por lo tanto, la prospectiva tecnológica es una capacidad dinámica que por medio de la seleccionar, filtrar, analizar e interpretar puede transformar la información del entorno en desarrollos tecnológicos o de investigación de la organización estudiada. </w:t>
      </w:r>
    </w:p>
    <w:p w14:paraId="630955DA"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En el estudio se detectaron # de características de la prospectiva tecnológica que se relacionan con las capacidades dinámicas: 1) la prospectiva nace de una necesidad natural de la organización de mantenerse al vanguardia para sostener y mejorar sus ventajas competitivas; 2) los conocimientos necesarios para realizar los ejercicios de prospectiva tecnológica son inherentes a los recursos humanos de la organización, por lo </w:t>
      </w:r>
      <w:r w:rsidRPr="005647CA">
        <w:rPr>
          <w:szCs w:val="20"/>
          <w:lang w:val="es-ES_tradnl"/>
        </w:rPr>
        <w:lastRenderedPageBreak/>
        <w:t>tanto la prospectiva tecnológica al igual que las capacidades dinámicas es una capacidad que se desarrolla y no puede ser comprada; 3) la prospectiva tecnológica sirve para crear nuevos recursos; 4) al explorar y explotar nuevas oportunidades de negocio, la prospectiva tecnológica permite a la organización anticiparse y estar preparados para los cambios en el entorno antes que sus competidores; 5) la prospectiva tecnológica así como la capacidad dinámica para poder detectar oportunidades comparten actividades y objetivos en común.</w:t>
      </w:r>
    </w:p>
    <w:p w14:paraId="782F837A" w14:textId="77777777" w:rsidR="005647CA" w:rsidRPr="005647CA" w:rsidRDefault="005647CA" w:rsidP="005647CA">
      <w:pPr>
        <w:spacing w:line="360" w:lineRule="auto"/>
        <w:jc w:val="both"/>
        <w:rPr>
          <w:szCs w:val="20"/>
          <w:lang w:val="es-ES_tradnl"/>
        </w:rPr>
      </w:pPr>
    </w:p>
    <w:p w14:paraId="4C664155" w14:textId="0FAF0B9B" w:rsidR="005647CA" w:rsidRDefault="005647CA" w:rsidP="005647CA">
      <w:pPr>
        <w:spacing w:line="360" w:lineRule="auto"/>
        <w:jc w:val="both"/>
        <w:rPr>
          <w:szCs w:val="20"/>
          <w:lang w:val="es-MX"/>
        </w:rPr>
      </w:pPr>
      <w:r w:rsidRPr="005647CA">
        <w:rPr>
          <w:szCs w:val="20"/>
          <w:lang w:val="es-MX"/>
        </w:rPr>
        <w:t>El campo de la administración estratégica y las capacidades dinámicas se ve beneficiada al momento de relacionarlos con la prospectiva tecnológica, ya que al estudiar la prospectiva como una capacidad dinámica se muestra cómo se pueden identificar los elementos constitutivos de una capacidad dinámica a un nivel organizacional, así como explicar cómo se puede emplazar, nutrir y mantener una capacidad dinámica. El programa de prospectiva analizado en esta investigación muestra cómo de manera práctica un esquema coordinado de prospectiva tecnológica puede impactar en las competencias dinámicas de los centros de investigación, en donde estar informado de las nuevas tendencias tecnológicas y los nuevos campos de investigación generan una ventaja competitiva en este tipo de instituciones. Conectar la prospectiva a las capacidades centrales agrega un nuevo campo de estudio a la disciplina de la administración estratégica.</w:t>
      </w:r>
    </w:p>
    <w:p w14:paraId="09E544F4" w14:textId="77777777" w:rsidR="005647CA" w:rsidRPr="005647CA" w:rsidRDefault="005647CA" w:rsidP="00791128">
      <w:pPr>
        <w:spacing w:line="360" w:lineRule="auto"/>
        <w:ind w:firstLine="708"/>
        <w:jc w:val="both"/>
        <w:rPr>
          <w:szCs w:val="20"/>
          <w:lang w:val="es-ES_tradnl"/>
        </w:rPr>
      </w:pPr>
      <w:r w:rsidRPr="005647CA">
        <w:rPr>
          <w:szCs w:val="20"/>
          <w:lang w:val="es-ES_tradnl"/>
        </w:rPr>
        <w:t xml:space="preserve">Hay varias limitaciones asociadas con esta investigación que deben reconocerse. El presente estudio tiene la intención de dar una primera indicación sobre las relaciones entre la prospectiva tecnológica y las capacidades dinámicas en los centros de investigación, sin embargo, se deben realizar más investigaciones para obtener conocimientos específicos. Debido al número limitado de entrevistas, el estudio carece de los medios para analizar cuantitativamente los resultados y hacer generalizaciones estadísticas. Debido a que es un único caso de estudio, no se pudo lograr la representatividad y un alto nivel de generalización. Por lo tanto se sugiere en investigaciones futuras ampliar el estudio a más centros de investigación, y así, poder analizar los datos de manera cuantitativa. </w:t>
      </w:r>
    </w:p>
    <w:p w14:paraId="13842333" w14:textId="77777777" w:rsidR="005647CA" w:rsidRPr="005647CA" w:rsidRDefault="005647CA" w:rsidP="00791128">
      <w:pPr>
        <w:spacing w:line="360" w:lineRule="auto"/>
        <w:ind w:firstLine="708"/>
        <w:jc w:val="both"/>
        <w:rPr>
          <w:szCs w:val="20"/>
          <w:lang w:val="es-ES_tradnl"/>
        </w:rPr>
      </w:pPr>
      <w:r w:rsidRPr="005647CA">
        <w:rPr>
          <w:szCs w:val="20"/>
          <w:lang w:val="es-ES_tradnl"/>
        </w:rPr>
        <w:lastRenderedPageBreak/>
        <w:t xml:space="preserve">Además, en la presente investigación se utilizo una perspectiva de las capacidades dinámicas bastante estrecha que se centra en el propósito y los subprocesos de la prospectiva tecnológica. Para un estudio exploratorio, este procedimiento es adecuado. Sin embargo, la investigación de capacidades dinámicas revela un campo complejo con muchas más conceptualizaciones. Un ejemplo de esto es el aprendizaje como base para las capacidades dinámicas, o las dependencias de ruta que indican que las capacidades dinámicas dependen de las decisiones y rutinas previas de una empresa, que no se han incluido en el estudio. Investigaciones futuras deberán ampliar la conceptualización de las capacidades dinámicas. A pesar de estas limitaciones, este estudio exploratorio ofrece un primer análisis y fomenta la investigación futura hacia una consideración conjunta. </w:t>
      </w:r>
    </w:p>
    <w:p w14:paraId="78DB8F0C" w14:textId="1C7BB913" w:rsidR="005C1920" w:rsidRPr="005647CA" w:rsidRDefault="005C1920" w:rsidP="005C1920">
      <w:pPr>
        <w:spacing w:line="360" w:lineRule="auto"/>
        <w:jc w:val="both"/>
        <w:rPr>
          <w:szCs w:val="20"/>
        </w:rPr>
      </w:pPr>
      <w:r w:rsidRPr="00B60952">
        <w:rPr>
          <w:szCs w:val="20"/>
        </w:rPr>
        <w:t xml:space="preserve"> </w:t>
      </w:r>
    </w:p>
    <w:p w14:paraId="1A0BA9AF" w14:textId="1377DA0B" w:rsidR="005C1920" w:rsidRPr="008A44BA" w:rsidRDefault="005C1920" w:rsidP="008A44BA">
      <w:pPr>
        <w:spacing w:line="360" w:lineRule="auto"/>
        <w:rPr>
          <w:b/>
          <w:color w:val="244061"/>
          <w:sz w:val="28"/>
        </w:rPr>
      </w:pPr>
      <w:r w:rsidRPr="008A44BA">
        <w:rPr>
          <w:b/>
          <w:color w:val="244061"/>
          <w:sz w:val="28"/>
        </w:rPr>
        <w:t xml:space="preserve">Referencias </w:t>
      </w:r>
    </w:p>
    <w:p w14:paraId="5BF64B89" w14:textId="77777777" w:rsidR="005647CA" w:rsidRPr="005647CA" w:rsidRDefault="005647CA" w:rsidP="005647CA">
      <w:pPr>
        <w:spacing w:line="360" w:lineRule="auto"/>
        <w:ind w:left="709" w:hanging="709"/>
        <w:rPr>
          <w:szCs w:val="20"/>
          <w:lang w:val="en-US"/>
        </w:rPr>
      </w:pPr>
      <w:r w:rsidRPr="005647CA">
        <w:rPr>
          <w:szCs w:val="20"/>
          <w:lang w:val="en-US"/>
        </w:rPr>
        <w:t xml:space="preserve">Amis, J. M. (2018). Understanding Organization Change and Innovation: A Conversation with Mike </w:t>
      </w:r>
      <w:proofErr w:type="spellStart"/>
      <w:r w:rsidRPr="005647CA">
        <w:rPr>
          <w:szCs w:val="20"/>
          <w:lang w:val="en-US"/>
        </w:rPr>
        <w:t>Tushman</w:t>
      </w:r>
      <w:proofErr w:type="spellEnd"/>
      <w:r w:rsidRPr="005647CA">
        <w:rPr>
          <w:szCs w:val="20"/>
          <w:lang w:val="en-US"/>
        </w:rPr>
        <w:t xml:space="preserve">. </w:t>
      </w:r>
      <w:r w:rsidRPr="005647CA">
        <w:rPr>
          <w:i/>
          <w:szCs w:val="20"/>
          <w:lang w:val="en-US"/>
        </w:rPr>
        <w:t>Journal of Change Management, 18</w:t>
      </w:r>
      <w:r w:rsidRPr="005647CA">
        <w:rPr>
          <w:szCs w:val="20"/>
          <w:lang w:val="en-US"/>
        </w:rPr>
        <w:t>(1), 23-34. doi:10.1080/14697017.2017.1378697</w:t>
      </w:r>
    </w:p>
    <w:p w14:paraId="12BCB25F" w14:textId="77777777" w:rsidR="005647CA" w:rsidRPr="005647CA" w:rsidRDefault="005647CA" w:rsidP="005647CA">
      <w:pPr>
        <w:spacing w:line="360" w:lineRule="auto"/>
        <w:ind w:left="709" w:hanging="709"/>
        <w:rPr>
          <w:szCs w:val="20"/>
          <w:lang w:val="en-US"/>
        </w:rPr>
      </w:pPr>
      <w:r w:rsidRPr="005647CA">
        <w:rPr>
          <w:szCs w:val="20"/>
          <w:lang w:val="en-US"/>
        </w:rPr>
        <w:t xml:space="preserve">Becker, P. (2002). </w:t>
      </w:r>
      <w:r w:rsidRPr="005647CA">
        <w:rPr>
          <w:i/>
          <w:szCs w:val="20"/>
          <w:lang w:val="en-US"/>
        </w:rPr>
        <w:t>Corporate Foresight in Europe</w:t>
      </w:r>
      <w:r w:rsidRPr="005647CA">
        <w:rPr>
          <w:szCs w:val="20"/>
          <w:lang w:val="en-US"/>
        </w:rPr>
        <w:t xml:space="preserve">. Retrieved from </w:t>
      </w:r>
      <w:hyperlink r:id="rId11" w:history="1">
        <w:r w:rsidRPr="005647CA">
          <w:rPr>
            <w:rStyle w:val="Hipervnculo"/>
            <w:szCs w:val="20"/>
            <w:lang w:val="en-US"/>
          </w:rPr>
          <w:t>http://www.foresight-platform.eu/wp-content/uploads/2011/04/EFMN-Brief-No.-82-Corporate-Foresight-in-Europe.pdf</w:t>
        </w:r>
      </w:hyperlink>
    </w:p>
    <w:p w14:paraId="6C1393B1" w14:textId="77777777" w:rsidR="005647CA" w:rsidRPr="005647CA" w:rsidRDefault="005647CA" w:rsidP="005647CA">
      <w:pPr>
        <w:spacing w:line="360" w:lineRule="auto"/>
        <w:ind w:left="709" w:hanging="709"/>
        <w:rPr>
          <w:szCs w:val="20"/>
          <w:lang w:val="en-US"/>
        </w:rPr>
      </w:pPr>
      <w:r w:rsidRPr="005647CA">
        <w:rPr>
          <w:szCs w:val="20"/>
          <w:lang w:val="en-US"/>
        </w:rPr>
        <w:t xml:space="preserve">Blind, K., </w:t>
      </w:r>
      <w:proofErr w:type="spellStart"/>
      <w:r w:rsidRPr="005647CA">
        <w:rPr>
          <w:szCs w:val="20"/>
          <w:lang w:val="en-US"/>
        </w:rPr>
        <w:t>Cuhls</w:t>
      </w:r>
      <w:proofErr w:type="spellEnd"/>
      <w:r w:rsidRPr="005647CA">
        <w:rPr>
          <w:szCs w:val="20"/>
          <w:lang w:val="en-US"/>
        </w:rPr>
        <w:t xml:space="preserve">, K., &amp; </w:t>
      </w:r>
      <w:proofErr w:type="spellStart"/>
      <w:r w:rsidRPr="005647CA">
        <w:rPr>
          <w:szCs w:val="20"/>
          <w:lang w:val="en-US"/>
        </w:rPr>
        <w:t>Grupp</w:t>
      </w:r>
      <w:proofErr w:type="spellEnd"/>
      <w:r w:rsidRPr="005647CA">
        <w:rPr>
          <w:szCs w:val="20"/>
          <w:lang w:val="en-US"/>
        </w:rPr>
        <w:t xml:space="preserve">, H. (1999). Current Foresight Activities in Central Europe. </w:t>
      </w:r>
      <w:r w:rsidRPr="005647CA">
        <w:rPr>
          <w:i/>
          <w:szCs w:val="20"/>
          <w:lang w:val="en-US"/>
        </w:rPr>
        <w:t>Technological Forecasting and Social Change, 60</w:t>
      </w:r>
      <w:r w:rsidRPr="005647CA">
        <w:rPr>
          <w:szCs w:val="20"/>
          <w:lang w:val="en-US"/>
        </w:rPr>
        <w:t>(1), 15-35. doi:10.1016/S0040-1625(98)00021-3</w:t>
      </w:r>
    </w:p>
    <w:p w14:paraId="4615DB72" w14:textId="77777777" w:rsidR="005647CA" w:rsidRPr="005647CA" w:rsidRDefault="005647CA" w:rsidP="005647CA">
      <w:pPr>
        <w:spacing w:line="360" w:lineRule="auto"/>
        <w:ind w:left="709" w:hanging="709"/>
        <w:rPr>
          <w:szCs w:val="20"/>
        </w:rPr>
      </w:pPr>
      <w:r w:rsidRPr="005647CA">
        <w:rPr>
          <w:szCs w:val="20"/>
          <w:lang w:val="en-US"/>
        </w:rPr>
        <w:t xml:space="preserve">Bravo, E., &amp; Herrera, L. (2009). </w:t>
      </w:r>
      <w:r w:rsidRPr="005647CA">
        <w:rPr>
          <w:i/>
          <w:szCs w:val="20"/>
        </w:rPr>
        <w:t>Generación de capacidades dinámicas mediante la innovación organizacional: Un múltiple estudio de casos exploratorio.</w:t>
      </w:r>
      <w:r w:rsidRPr="005647CA">
        <w:rPr>
          <w:szCs w:val="20"/>
        </w:rPr>
        <w:t xml:space="preserve"> </w:t>
      </w:r>
      <w:proofErr w:type="spellStart"/>
      <w:r w:rsidRPr="005647CA">
        <w:rPr>
          <w:szCs w:val="20"/>
        </w:rPr>
        <w:t>Paper</w:t>
      </w:r>
      <w:proofErr w:type="spellEnd"/>
      <w:r w:rsidRPr="005647CA">
        <w:rPr>
          <w:szCs w:val="20"/>
        </w:rPr>
        <w:t xml:space="preserve"> </w:t>
      </w:r>
      <w:proofErr w:type="spellStart"/>
      <w:r w:rsidRPr="005647CA">
        <w:rPr>
          <w:szCs w:val="20"/>
        </w:rPr>
        <w:t>presented</w:t>
      </w:r>
      <w:proofErr w:type="spellEnd"/>
      <w:r w:rsidRPr="005647CA">
        <w:rPr>
          <w:szCs w:val="20"/>
        </w:rPr>
        <w:t xml:space="preserve"> at </w:t>
      </w:r>
      <w:proofErr w:type="spellStart"/>
      <w:r w:rsidRPr="005647CA">
        <w:rPr>
          <w:szCs w:val="20"/>
        </w:rPr>
        <w:t>the</w:t>
      </w:r>
      <w:proofErr w:type="spellEnd"/>
      <w:r w:rsidRPr="005647CA">
        <w:rPr>
          <w:szCs w:val="20"/>
        </w:rPr>
        <w:t xml:space="preserve"> XIII Congreso de Ingeniería de Organización.</w:t>
      </w:r>
    </w:p>
    <w:p w14:paraId="4F907EDA" w14:textId="77777777" w:rsidR="005647CA" w:rsidRPr="005647CA" w:rsidRDefault="005647CA" w:rsidP="005647CA">
      <w:pPr>
        <w:spacing w:line="360" w:lineRule="auto"/>
        <w:ind w:left="709" w:hanging="709"/>
        <w:rPr>
          <w:szCs w:val="20"/>
          <w:lang w:val="en-US"/>
        </w:rPr>
      </w:pPr>
      <w:r w:rsidRPr="005647CA">
        <w:rPr>
          <w:szCs w:val="20"/>
        </w:rPr>
        <w:t xml:space="preserve">Buendía, L., </w:t>
      </w:r>
      <w:proofErr w:type="spellStart"/>
      <w:r w:rsidRPr="005647CA">
        <w:rPr>
          <w:szCs w:val="20"/>
        </w:rPr>
        <w:t>Colás</w:t>
      </w:r>
      <w:proofErr w:type="spellEnd"/>
      <w:r w:rsidRPr="005647CA">
        <w:rPr>
          <w:szCs w:val="20"/>
        </w:rPr>
        <w:t xml:space="preserve">, M., &amp; Hernández, F. (1998). </w:t>
      </w:r>
      <w:r w:rsidRPr="005647CA">
        <w:rPr>
          <w:i/>
          <w:szCs w:val="20"/>
        </w:rPr>
        <w:t>Métodos de investigación en psicopedagogía</w:t>
      </w:r>
      <w:r w:rsidRPr="005647CA">
        <w:rPr>
          <w:szCs w:val="20"/>
        </w:rPr>
        <w:t xml:space="preserve">. </w:t>
      </w:r>
      <w:r w:rsidRPr="005647CA">
        <w:rPr>
          <w:szCs w:val="20"/>
          <w:lang w:val="en-US"/>
        </w:rPr>
        <w:t xml:space="preserve">Madrid, </w:t>
      </w:r>
      <w:proofErr w:type="spellStart"/>
      <w:r w:rsidRPr="005647CA">
        <w:rPr>
          <w:szCs w:val="20"/>
          <w:lang w:val="en-US"/>
        </w:rPr>
        <w:t>España</w:t>
      </w:r>
      <w:proofErr w:type="spellEnd"/>
      <w:r w:rsidRPr="005647CA">
        <w:rPr>
          <w:szCs w:val="20"/>
          <w:lang w:val="en-US"/>
        </w:rPr>
        <w:t>: McGraw-Hill</w:t>
      </w:r>
      <w:proofErr w:type="gramStart"/>
      <w:r w:rsidRPr="005647CA">
        <w:rPr>
          <w:szCs w:val="20"/>
          <w:lang w:val="en-US"/>
        </w:rPr>
        <w:t>,.</w:t>
      </w:r>
      <w:proofErr w:type="gramEnd"/>
    </w:p>
    <w:p w14:paraId="755F543F" w14:textId="77777777" w:rsidR="005647CA" w:rsidRPr="005647CA" w:rsidRDefault="005647CA" w:rsidP="005647CA">
      <w:pPr>
        <w:spacing w:line="360" w:lineRule="auto"/>
        <w:ind w:left="709" w:hanging="709"/>
        <w:rPr>
          <w:szCs w:val="20"/>
        </w:rPr>
      </w:pPr>
      <w:r w:rsidRPr="005647CA">
        <w:rPr>
          <w:szCs w:val="20"/>
          <w:lang w:val="en-US"/>
        </w:rPr>
        <w:t xml:space="preserve">Castillo, N., &amp; López, E. (2021). Technological foresight as support for the planning of research and development centers: the case of EI-UNAM. </w:t>
      </w:r>
      <w:proofErr w:type="spellStart"/>
      <w:r w:rsidRPr="005647CA">
        <w:rPr>
          <w:i/>
          <w:szCs w:val="20"/>
        </w:rPr>
        <w:t>Foresight</w:t>
      </w:r>
      <w:proofErr w:type="spellEnd"/>
      <w:r w:rsidRPr="005647CA">
        <w:rPr>
          <w:i/>
          <w:szCs w:val="20"/>
        </w:rPr>
        <w:t>, 23</w:t>
      </w:r>
      <w:r w:rsidRPr="005647CA">
        <w:rPr>
          <w:szCs w:val="20"/>
        </w:rPr>
        <w:t>(4), 457-476. doi:10.1108/FS-09-2020-0100</w:t>
      </w:r>
    </w:p>
    <w:p w14:paraId="652FFA08" w14:textId="77777777" w:rsidR="005647CA" w:rsidRPr="005647CA" w:rsidRDefault="005647CA" w:rsidP="005647CA">
      <w:pPr>
        <w:spacing w:line="360" w:lineRule="auto"/>
        <w:ind w:left="709" w:hanging="709"/>
        <w:rPr>
          <w:szCs w:val="20"/>
        </w:rPr>
      </w:pPr>
      <w:r w:rsidRPr="005647CA">
        <w:rPr>
          <w:szCs w:val="20"/>
        </w:rPr>
        <w:t xml:space="preserve">CONACYT. (2014). Centros Públicos de Investigación </w:t>
      </w:r>
      <w:proofErr w:type="spellStart"/>
      <w:r w:rsidRPr="005647CA">
        <w:rPr>
          <w:szCs w:val="20"/>
        </w:rPr>
        <w:t>Conacyt</w:t>
      </w:r>
      <w:proofErr w:type="spellEnd"/>
      <w:r w:rsidRPr="005647CA">
        <w:rPr>
          <w:szCs w:val="20"/>
        </w:rPr>
        <w:t xml:space="preserve">.   </w:t>
      </w:r>
    </w:p>
    <w:p w14:paraId="7C97FC90" w14:textId="77777777" w:rsidR="005647CA" w:rsidRPr="005647CA" w:rsidRDefault="005647CA" w:rsidP="005647CA">
      <w:pPr>
        <w:spacing w:line="360" w:lineRule="auto"/>
        <w:ind w:left="709" w:hanging="709"/>
        <w:rPr>
          <w:szCs w:val="20"/>
          <w:lang w:val="en-US"/>
        </w:rPr>
      </w:pPr>
      <w:proofErr w:type="spellStart"/>
      <w:r w:rsidRPr="005647CA">
        <w:rPr>
          <w:szCs w:val="20"/>
        </w:rPr>
        <w:lastRenderedPageBreak/>
        <w:t>Corbetta</w:t>
      </w:r>
      <w:proofErr w:type="spellEnd"/>
      <w:r w:rsidRPr="005647CA">
        <w:rPr>
          <w:szCs w:val="20"/>
        </w:rPr>
        <w:t xml:space="preserve">, P. (2003). </w:t>
      </w:r>
      <w:r w:rsidRPr="005647CA">
        <w:rPr>
          <w:i/>
          <w:szCs w:val="20"/>
          <w:lang w:val="en-US"/>
        </w:rPr>
        <w:t>Social research: Theory, methods and techniques</w:t>
      </w:r>
      <w:r w:rsidRPr="005647CA">
        <w:rPr>
          <w:szCs w:val="20"/>
          <w:lang w:val="en-US"/>
        </w:rPr>
        <w:t>: Sage.</w:t>
      </w:r>
    </w:p>
    <w:p w14:paraId="6DC12396" w14:textId="77777777" w:rsidR="005647CA" w:rsidRPr="005647CA" w:rsidRDefault="005647CA" w:rsidP="005647CA">
      <w:pPr>
        <w:spacing w:line="360" w:lineRule="auto"/>
        <w:ind w:left="709" w:hanging="709"/>
        <w:rPr>
          <w:szCs w:val="20"/>
          <w:lang w:val="en-US"/>
        </w:rPr>
      </w:pPr>
      <w:r w:rsidRPr="005647CA">
        <w:rPr>
          <w:szCs w:val="20"/>
        </w:rPr>
        <w:t xml:space="preserve">de Souza Andrade, H., de Freitas Chagas, M., Urbina, L. M. S., &amp; Silva, M. B. (2017). </w:t>
      </w:r>
      <w:r w:rsidRPr="005647CA">
        <w:rPr>
          <w:szCs w:val="20"/>
          <w:lang w:val="en-US"/>
        </w:rPr>
        <w:t xml:space="preserve">Application of a process model for the management of intellectual property in a technology licensing office from a Brazilian Research Center. </w:t>
      </w:r>
      <w:r w:rsidRPr="005647CA">
        <w:rPr>
          <w:i/>
          <w:szCs w:val="20"/>
          <w:lang w:val="en-US"/>
        </w:rPr>
        <w:t>International Journal of Innovation: IJI Journal, 5</w:t>
      </w:r>
      <w:r w:rsidRPr="005647CA">
        <w:rPr>
          <w:szCs w:val="20"/>
          <w:lang w:val="en-US"/>
        </w:rPr>
        <w:t xml:space="preserve">(3), 335-348. </w:t>
      </w:r>
    </w:p>
    <w:p w14:paraId="257F1453" w14:textId="77777777" w:rsidR="005647CA" w:rsidRPr="005647CA" w:rsidRDefault="005647CA" w:rsidP="005647CA">
      <w:pPr>
        <w:spacing w:line="360" w:lineRule="auto"/>
        <w:ind w:left="709" w:hanging="709"/>
        <w:rPr>
          <w:szCs w:val="20"/>
          <w:lang w:val="en-US"/>
        </w:rPr>
      </w:pPr>
      <w:r w:rsidRPr="005647CA">
        <w:rPr>
          <w:szCs w:val="20"/>
          <w:lang w:val="en-US"/>
        </w:rPr>
        <w:t xml:space="preserve">Eisenhardt, K. M. (1989). </w:t>
      </w:r>
      <w:r w:rsidRPr="005647CA">
        <w:rPr>
          <w:i/>
          <w:szCs w:val="20"/>
          <w:lang w:val="en-US"/>
        </w:rPr>
        <w:t>Making Fast Decisions in High-Velocity Environments</w:t>
      </w:r>
      <w:r w:rsidRPr="005647CA">
        <w:rPr>
          <w:szCs w:val="20"/>
          <w:lang w:val="en-US"/>
        </w:rPr>
        <w:t xml:space="preserve"> (Vol. 32).</w:t>
      </w:r>
    </w:p>
    <w:p w14:paraId="173B7E1C" w14:textId="77777777" w:rsidR="005647CA" w:rsidRPr="005647CA" w:rsidRDefault="005647CA" w:rsidP="005647CA">
      <w:pPr>
        <w:spacing w:line="360" w:lineRule="auto"/>
        <w:ind w:left="709" w:hanging="709"/>
        <w:rPr>
          <w:szCs w:val="20"/>
          <w:lang w:val="en-US"/>
        </w:rPr>
      </w:pPr>
      <w:r w:rsidRPr="005647CA">
        <w:rPr>
          <w:szCs w:val="20"/>
          <w:lang w:val="en-US"/>
        </w:rPr>
        <w:t xml:space="preserve">Eisenhardt, K. M., &amp; Martin, J. (2000). Dynamic Capabilities: What are they? </w:t>
      </w:r>
      <w:r w:rsidRPr="005647CA">
        <w:rPr>
          <w:i/>
          <w:szCs w:val="20"/>
          <w:lang w:val="en-US"/>
        </w:rPr>
        <w:t>Strategic Management Journal, 21</w:t>
      </w:r>
      <w:r w:rsidRPr="005647CA">
        <w:rPr>
          <w:szCs w:val="20"/>
          <w:lang w:val="en-US"/>
        </w:rPr>
        <w:t xml:space="preserve">(10). </w:t>
      </w:r>
    </w:p>
    <w:p w14:paraId="6061B65C" w14:textId="77777777" w:rsidR="005647CA" w:rsidRPr="005647CA" w:rsidRDefault="005647CA" w:rsidP="005647CA">
      <w:pPr>
        <w:spacing w:line="360" w:lineRule="auto"/>
        <w:ind w:left="709" w:hanging="709"/>
        <w:rPr>
          <w:szCs w:val="20"/>
          <w:lang w:val="en-US"/>
        </w:rPr>
      </w:pPr>
      <w:r w:rsidRPr="005647CA">
        <w:rPr>
          <w:szCs w:val="20"/>
          <w:lang w:val="en-US"/>
        </w:rPr>
        <w:t xml:space="preserve">Ende, J. V. D., Mulder, K., Knot, M., Moors, E., &amp; </w:t>
      </w:r>
      <w:proofErr w:type="spellStart"/>
      <w:r w:rsidRPr="005647CA">
        <w:rPr>
          <w:szCs w:val="20"/>
          <w:lang w:val="en-US"/>
        </w:rPr>
        <w:t>Vergragt</w:t>
      </w:r>
      <w:proofErr w:type="spellEnd"/>
      <w:r w:rsidRPr="005647CA">
        <w:rPr>
          <w:szCs w:val="20"/>
          <w:lang w:val="en-US"/>
        </w:rPr>
        <w:t xml:space="preserve">, P. (1998). Traditional and Modern Technology Assessment: Toward a Toolkit. </w:t>
      </w:r>
      <w:r w:rsidRPr="005647CA">
        <w:rPr>
          <w:i/>
          <w:szCs w:val="20"/>
          <w:lang w:val="en-US"/>
        </w:rPr>
        <w:t>Technological Forecasting and Social Change, 58</w:t>
      </w:r>
      <w:r w:rsidRPr="005647CA">
        <w:rPr>
          <w:szCs w:val="20"/>
          <w:lang w:val="en-US"/>
        </w:rPr>
        <w:t>(1-2), 5-21. doi:10.1016/S0040-1625(97)00052-8</w:t>
      </w:r>
    </w:p>
    <w:p w14:paraId="1F9DDE7C" w14:textId="77777777" w:rsidR="005647CA" w:rsidRPr="005647CA" w:rsidRDefault="005647CA" w:rsidP="005647CA">
      <w:pPr>
        <w:spacing w:line="360" w:lineRule="auto"/>
        <w:ind w:left="709" w:hanging="709"/>
        <w:rPr>
          <w:szCs w:val="20"/>
          <w:lang w:val="en-US"/>
        </w:rPr>
      </w:pPr>
      <w:r w:rsidRPr="005647CA">
        <w:rPr>
          <w:szCs w:val="20"/>
          <w:lang w:val="en-US"/>
        </w:rPr>
        <w:t xml:space="preserve">Ericsson, D. (2020). Reflections on constructing time in organizational change processes: a virtuous managerial interest. </w:t>
      </w:r>
      <w:r w:rsidRPr="005647CA">
        <w:rPr>
          <w:i/>
          <w:szCs w:val="20"/>
          <w:lang w:val="en-US"/>
        </w:rPr>
        <w:t>Journal of Organizational Change Management, 33</w:t>
      </w:r>
      <w:r w:rsidRPr="005647CA">
        <w:rPr>
          <w:szCs w:val="20"/>
          <w:lang w:val="en-US"/>
        </w:rPr>
        <w:t>(5), 821-833. doi:10.1108/JOCM-05-2019-0126</w:t>
      </w:r>
    </w:p>
    <w:p w14:paraId="066D0694" w14:textId="77777777" w:rsidR="005647CA" w:rsidRPr="005647CA" w:rsidRDefault="005647CA" w:rsidP="005647CA">
      <w:pPr>
        <w:spacing w:line="360" w:lineRule="auto"/>
        <w:ind w:left="709" w:hanging="709"/>
        <w:rPr>
          <w:szCs w:val="20"/>
          <w:lang w:val="en-US"/>
        </w:rPr>
      </w:pPr>
      <w:r w:rsidRPr="005647CA">
        <w:rPr>
          <w:szCs w:val="20"/>
          <w:lang w:val="en-US"/>
        </w:rPr>
        <w:t xml:space="preserve">Fallon-Byrne, L., &amp; Harney, B. (2017). </w:t>
      </w:r>
      <w:proofErr w:type="spellStart"/>
      <w:r w:rsidRPr="005647CA">
        <w:rPr>
          <w:szCs w:val="20"/>
          <w:lang w:val="en-US"/>
        </w:rPr>
        <w:t>Microfoundations</w:t>
      </w:r>
      <w:proofErr w:type="spellEnd"/>
      <w:r w:rsidRPr="005647CA">
        <w:rPr>
          <w:szCs w:val="20"/>
          <w:lang w:val="en-US"/>
        </w:rPr>
        <w:t xml:space="preserve"> of dynamic capabilities for innovation: a review and research agenda. </w:t>
      </w:r>
      <w:r w:rsidRPr="005647CA">
        <w:rPr>
          <w:i/>
          <w:szCs w:val="20"/>
          <w:lang w:val="en-US"/>
        </w:rPr>
        <w:t>The Irish Journal of Management, 36</w:t>
      </w:r>
      <w:r w:rsidRPr="005647CA">
        <w:rPr>
          <w:szCs w:val="20"/>
          <w:lang w:val="en-US"/>
        </w:rPr>
        <w:t xml:space="preserve">(1), 21-31. </w:t>
      </w:r>
    </w:p>
    <w:p w14:paraId="1FA212D7" w14:textId="77777777" w:rsidR="005647CA" w:rsidRPr="005647CA" w:rsidRDefault="005647CA" w:rsidP="005647CA">
      <w:pPr>
        <w:spacing w:line="360" w:lineRule="auto"/>
        <w:ind w:left="709" w:hanging="709"/>
        <w:rPr>
          <w:szCs w:val="20"/>
          <w:lang w:val="en-US"/>
        </w:rPr>
      </w:pPr>
      <w:r w:rsidRPr="005647CA">
        <w:rPr>
          <w:szCs w:val="20"/>
          <w:lang w:val="en-US"/>
        </w:rPr>
        <w:t xml:space="preserve">Horton, A. (1999). A simple guide to successful foresight. </w:t>
      </w:r>
      <w:r w:rsidRPr="005647CA">
        <w:rPr>
          <w:i/>
          <w:szCs w:val="20"/>
          <w:lang w:val="en-US"/>
        </w:rPr>
        <w:t>Foresight, 1</w:t>
      </w:r>
      <w:r w:rsidRPr="005647CA">
        <w:rPr>
          <w:szCs w:val="20"/>
          <w:lang w:val="en-US"/>
        </w:rPr>
        <w:t>(1), 5-9. doi:10.1108/14636689910802052</w:t>
      </w:r>
    </w:p>
    <w:p w14:paraId="27B988FD" w14:textId="77777777" w:rsidR="005647CA" w:rsidRPr="005647CA" w:rsidRDefault="005647CA" w:rsidP="005647CA">
      <w:pPr>
        <w:spacing w:line="360" w:lineRule="auto"/>
        <w:ind w:left="709" w:hanging="709"/>
        <w:rPr>
          <w:szCs w:val="20"/>
          <w:lang w:val="en-US"/>
        </w:rPr>
      </w:pPr>
      <w:r w:rsidRPr="005647CA">
        <w:rPr>
          <w:szCs w:val="20"/>
          <w:lang w:val="en-US"/>
        </w:rPr>
        <w:t xml:space="preserve">Jackson, R. L., Drummond, D. K., &amp; </w:t>
      </w:r>
      <w:proofErr w:type="spellStart"/>
      <w:r w:rsidRPr="005647CA">
        <w:rPr>
          <w:szCs w:val="20"/>
          <w:lang w:val="en-US"/>
        </w:rPr>
        <w:t>Camara</w:t>
      </w:r>
      <w:proofErr w:type="spellEnd"/>
      <w:r w:rsidRPr="005647CA">
        <w:rPr>
          <w:szCs w:val="20"/>
          <w:lang w:val="en-US"/>
        </w:rPr>
        <w:t xml:space="preserve">, S. (2007). What is qualitative research? </w:t>
      </w:r>
      <w:r w:rsidRPr="005647CA">
        <w:rPr>
          <w:i/>
          <w:szCs w:val="20"/>
          <w:lang w:val="en-US"/>
        </w:rPr>
        <w:t>Qualitative research reports in communication, 8</w:t>
      </w:r>
      <w:r w:rsidRPr="005647CA">
        <w:rPr>
          <w:szCs w:val="20"/>
          <w:lang w:val="en-US"/>
        </w:rPr>
        <w:t xml:space="preserve">(1), 21-28. </w:t>
      </w:r>
    </w:p>
    <w:p w14:paraId="13C9254F" w14:textId="77777777" w:rsidR="005647CA" w:rsidRPr="005647CA" w:rsidRDefault="005647CA" w:rsidP="005647CA">
      <w:pPr>
        <w:spacing w:line="360" w:lineRule="auto"/>
        <w:ind w:left="709" w:hanging="709"/>
        <w:rPr>
          <w:szCs w:val="20"/>
          <w:lang w:val="en-US"/>
        </w:rPr>
      </w:pPr>
      <w:r w:rsidRPr="005647CA">
        <w:rPr>
          <w:szCs w:val="20"/>
          <w:lang w:val="en-US"/>
        </w:rPr>
        <w:t xml:space="preserve">Leonard-Barton, D. (1992). Core capabilities and core rigidities: A paradox in managing new product development. </w:t>
      </w:r>
      <w:r w:rsidRPr="005647CA">
        <w:rPr>
          <w:i/>
          <w:szCs w:val="20"/>
          <w:lang w:val="en-US"/>
        </w:rPr>
        <w:t>Strategic Management Journal, 13</w:t>
      </w:r>
      <w:r w:rsidRPr="005647CA">
        <w:rPr>
          <w:szCs w:val="20"/>
          <w:lang w:val="en-US"/>
        </w:rPr>
        <w:t>(1), 111-125. doi:10.1002/smj.4250131009</w:t>
      </w:r>
    </w:p>
    <w:p w14:paraId="26A9018C" w14:textId="77777777" w:rsidR="005647CA" w:rsidRPr="005647CA" w:rsidRDefault="005647CA" w:rsidP="005647CA">
      <w:pPr>
        <w:spacing w:line="360" w:lineRule="auto"/>
        <w:ind w:left="709" w:hanging="709"/>
        <w:rPr>
          <w:szCs w:val="20"/>
          <w:lang w:val="en-US"/>
        </w:rPr>
      </w:pPr>
      <w:r w:rsidRPr="005647CA">
        <w:rPr>
          <w:szCs w:val="20"/>
          <w:lang w:val="en-US"/>
        </w:rPr>
        <w:t xml:space="preserve">MacKay, B., &amp; McKiernan, P. (2004). The role of hindsight in foresight: refining strategic reasoning. </w:t>
      </w:r>
      <w:r w:rsidRPr="005647CA">
        <w:rPr>
          <w:i/>
          <w:szCs w:val="20"/>
          <w:lang w:val="en-US"/>
        </w:rPr>
        <w:t>Futures, 36</w:t>
      </w:r>
      <w:r w:rsidRPr="005647CA">
        <w:rPr>
          <w:szCs w:val="20"/>
          <w:lang w:val="en-US"/>
        </w:rPr>
        <w:t>(2), 161-179. doi:10.1016/S0016-3287(03)00147-2</w:t>
      </w:r>
    </w:p>
    <w:p w14:paraId="3CAD1407" w14:textId="77777777" w:rsidR="005647CA" w:rsidRPr="005647CA" w:rsidRDefault="005647CA" w:rsidP="005647CA">
      <w:pPr>
        <w:spacing w:line="360" w:lineRule="auto"/>
        <w:ind w:left="709" w:hanging="709"/>
        <w:rPr>
          <w:szCs w:val="20"/>
          <w:lang w:val="en-US"/>
        </w:rPr>
      </w:pPr>
      <w:r w:rsidRPr="005647CA">
        <w:rPr>
          <w:szCs w:val="20"/>
          <w:lang w:val="en-US"/>
        </w:rPr>
        <w:t xml:space="preserve">Major, E., Asch, D., &amp; </w:t>
      </w:r>
      <w:proofErr w:type="spellStart"/>
      <w:r w:rsidRPr="005647CA">
        <w:rPr>
          <w:szCs w:val="20"/>
          <w:lang w:val="en-US"/>
        </w:rPr>
        <w:t>Cordey</w:t>
      </w:r>
      <w:proofErr w:type="spellEnd"/>
      <w:r w:rsidRPr="005647CA">
        <w:rPr>
          <w:szCs w:val="20"/>
          <w:lang w:val="en-US"/>
        </w:rPr>
        <w:t xml:space="preserve">-Hayes, M. (2001). Foresight as a core competence. </w:t>
      </w:r>
      <w:r w:rsidRPr="005647CA">
        <w:rPr>
          <w:i/>
          <w:szCs w:val="20"/>
          <w:lang w:val="en-US"/>
        </w:rPr>
        <w:t>Futures, 33</w:t>
      </w:r>
      <w:r w:rsidRPr="005647CA">
        <w:rPr>
          <w:szCs w:val="20"/>
          <w:lang w:val="en-US"/>
        </w:rPr>
        <w:t>(2), 91-107. doi:10.1016/S0016-3287(00)00057-4</w:t>
      </w:r>
    </w:p>
    <w:p w14:paraId="56E624E9" w14:textId="77777777" w:rsidR="005647CA" w:rsidRPr="005647CA" w:rsidRDefault="005647CA" w:rsidP="005647CA">
      <w:pPr>
        <w:spacing w:line="360" w:lineRule="auto"/>
        <w:ind w:left="709" w:hanging="709"/>
        <w:rPr>
          <w:szCs w:val="20"/>
          <w:lang w:val="en-US"/>
        </w:rPr>
      </w:pPr>
      <w:r w:rsidRPr="005647CA">
        <w:rPr>
          <w:szCs w:val="20"/>
          <w:lang w:val="en-US"/>
        </w:rPr>
        <w:lastRenderedPageBreak/>
        <w:t xml:space="preserve">Martin, B. R. (1995). Foresight in science and technology. </w:t>
      </w:r>
      <w:r w:rsidRPr="005647CA">
        <w:rPr>
          <w:i/>
          <w:szCs w:val="20"/>
          <w:lang w:val="en-US"/>
        </w:rPr>
        <w:t>Technology Analysis &amp; Strategic Management, 7</w:t>
      </w:r>
      <w:r w:rsidRPr="005647CA">
        <w:rPr>
          <w:szCs w:val="20"/>
          <w:lang w:val="en-US"/>
        </w:rPr>
        <w:t>(2), 139-168. doi:10.1080/09537329508524202</w:t>
      </w:r>
    </w:p>
    <w:p w14:paraId="5622ECB7" w14:textId="77777777" w:rsidR="005647CA" w:rsidRPr="005647CA" w:rsidRDefault="005647CA" w:rsidP="005647CA">
      <w:pPr>
        <w:spacing w:line="360" w:lineRule="auto"/>
        <w:ind w:left="709" w:hanging="709"/>
        <w:rPr>
          <w:szCs w:val="20"/>
          <w:lang w:val="en-US"/>
        </w:rPr>
      </w:pPr>
      <w:r w:rsidRPr="005647CA">
        <w:rPr>
          <w:szCs w:val="20"/>
          <w:lang w:val="en-US"/>
        </w:rPr>
        <w:t xml:space="preserve">Miles, I. (2010). The development of technology foresight: A review. </w:t>
      </w:r>
      <w:r w:rsidRPr="005647CA">
        <w:rPr>
          <w:i/>
          <w:szCs w:val="20"/>
          <w:lang w:val="en-US"/>
        </w:rPr>
        <w:t>Technological Forecasting &amp; Social Change, 77</w:t>
      </w:r>
      <w:r w:rsidRPr="005647CA">
        <w:rPr>
          <w:szCs w:val="20"/>
          <w:lang w:val="en-US"/>
        </w:rPr>
        <w:t xml:space="preserve">(9), 1448-1456. </w:t>
      </w:r>
      <w:proofErr w:type="gramStart"/>
      <w:r w:rsidRPr="005647CA">
        <w:rPr>
          <w:szCs w:val="20"/>
          <w:lang w:val="en-US"/>
        </w:rPr>
        <w:t>doi:10.1016</w:t>
      </w:r>
      <w:proofErr w:type="gramEnd"/>
      <w:r w:rsidRPr="005647CA">
        <w:rPr>
          <w:szCs w:val="20"/>
          <w:lang w:val="en-US"/>
        </w:rPr>
        <w:t>/j.techfore.2010.07.016</w:t>
      </w:r>
    </w:p>
    <w:p w14:paraId="14DFFBCE" w14:textId="77777777" w:rsidR="005647CA" w:rsidRPr="005647CA" w:rsidRDefault="005647CA" w:rsidP="005647CA">
      <w:pPr>
        <w:spacing w:line="360" w:lineRule="auto"/>
        <w:ind w:left="709" w:hanging="709"/>
        <w:rPr>
          <w:szCs w:val="20"/>
        </w:rPr>
      </w:pPr>
      <w:r w:rsidRPr="005647CA">
        <w:rPr>
          <w:szCs w:val="20"/>
          <w:lang w:val="en-US"/>
        </w:rPr>
        <w:t xml:space="preserve">Miranda-Torrez, J. (2021). </w:t>
      </w:r>
      <w:r w:rsidRPr="005647CA">
        <w:rPr>
          <w:szCs w:val="20"/>
        </w:rPr>
        <w:t xml:space="preserve">Acciones competitivas y desempeño organizacional en la perspectiva dinámica competitiva. </w:t>
      </w:r>
      <w:r w:rsidRPr="005647CA">
        <w:rPr>
          <w:i/>
          <w:szCs w:val="20"/>
        </w:rPr>
        <w:t>Investigación administrativa, 50</w:t>
      </w:r>
      <w:r w:rsidRPr="005647CA">
        <w:rPr>
          <w:szCs w:val="20"/>
        </w:rPr>
        <w:t xml:space="preserve">(127). </w:t>
      </w:r>
    </w:p>
    <w:p w14:paraId="6FCBC0B6" w14:textId="77777777" w:rsidR="005647CA" w:rsidRPr="005647CA" w:rsidRDefault="005647CA" w:rsidP="005647CA">
      <w:pPr>
        <w:spacing w:line="360" w:lineRule="auto"/>
        <w:ind w:left="709" w:hanging="709"/>
        <w:rPr>
          <w:szCs w:val="20"/>
          <w:lang w:val="en-US"/>
        </w:rPr>
      </w:pPr>
      <w:r w:rsidRPr="005647CA">
        <w:rPr>
          <w:szCs w:val="20"/>
        </w:rPr>
        <w:t xml:space="preserve">Pineda, L. (2013). PROSPECTIVA ESTRATÉGICA EN LA GESTIÓN DEL CONOCIMIENTO: UNA PROPUESTA PARA LOS GRUPOS DE INVESTIGACIÓN COLOMBIANOS. </w:t>
      </w:r>
      <w:proofErr w:type="spellStart"/>
      <w:r w:rsidRPr="005647CA">
        <w:rPr>
          <w:i/>
          <w:szCs w:val="20"/>
          <w:lang w:val="en-US"/>
        </w:rPr>
        <w:t>Investigación</w:t>
      </w:r>
      <w:proofErr w:type="spellEnd"/>
      <w:r w:rsidRPr="005647CA">
        <w:rPr>
          <w:i/>
          <w:szCs w:val="20"/>
          <w:lang w:val="en-US"/>
        </w:rPr>
        <w:t xml:space="preserve"> y </w:t>
      </w:r>
      <w:proofErr w:type="spellStart"/>
      <w:r w:rsidRPr="005647CA">
        <w:rPr>
          <w:i/>
          <w:szCs w:val="20"/>
          <w:lang w:val="en-US"/>
        </w:rPr>
        <w:t>Desarrollo</w:t>
      </w:r>
      <w:proofErr w:type="spellEnd"/>
      <w:r w:rsidRPr="005647CA">
        <w:rPr>
          <w:i/>
          <w:szCs w:val="20"/>
          <w:lang w:val="en-US"/>
        </w:rPr>
        <w:t>, 21</w:t>
      </w:r>
      <w:r w:rsidRPr="005647CA">
        <w:rPr>
          <w:szCs w:val="20"/>
          <w:lang w:val="en-US"/>
        </w:rPr>
        <w:t xml:space="preserve">, 237-311. </w:t>
      </w:r>
    </w:p>
    <w:p w14:paraId="76ACECC4" w14:textId="77777777" w:rsidR="005647CA" w:rsidRPr="005647CA" w:rsidRDefault="005647CA" w:rsidP="005647CA">
      <w:pPr>
        <w:spacing w:line="360" w:lineRule="auto"/>
        <w:ind w:left="709" w:hanging="709"/>
        <w:rPr>
          <w:szCs w:val="20"/>
          <w:lang w:val="en-US"/>
        </w:rPr>
      </w:pPr>
      <w:r w:rsidRPr="005647CA">
        <w:rPr>
          <w:szCs w:val="20"/>
          <w:lang w:val="en-US"/>
        </w:rPr>
        <w:t xml:space="preserve">Ramírez, R., </w:t>
      </w:r>
      <w:proofErr w:type="spellStart"/>
      <w:r w:rsidRPr="005647CA">
        <w:rPr>
          <w:szCs w:val="20"/>
          <w:lang w:val="en-US"/>
        </w:rPr>
        <w:t>Österman</w:t>
      </w:r>
      <w:proofErr w:type="spellEnd"/>
      <w:r w:rsidRPr="005647CA">
        <w:rPr>
          <w:szCs w:val="20"/>
          <w:lang w:val="en-US"/>
        </w:rPr>
        <w:t xml:space="preserve">, R., &amp; </w:t>
      </w:r>
      <w:proofErr w:type="spellStart"/>
      <w:r w:rsidRPr="005647CA">
        <w:rPr>
          <w:szCs w:val="20"/>
          <w:lang w:val="en-US"/>
        </w:rPr>
        <w:t>Grönquist</w:t>
      </w:r>
      <w:proofErr w:type="spellEnd"/>
      <w:r w:rsidRPr="005647CA">
        <w:rPr>
          <w:szCs w:val="20"/>
          <w:lang w:val="en-US"/>
        </w:rPr>
        <w:t xml:space="preserve">, D. (2013). Scenarios and early warnings as dynamic capabilities to frame managerial attention. </w:t>
      </w:r>
      <w:r w:rsidRPr="005647CA">
        <w:rPr>
          <w:i/>
          <w:szCs w:val="20"/>
          <w:lang w:val="en-US"/>
        </w:rPr>
        <w:t>Technological Forecasting and Social Change, 80</w:t>
      </w:r>
      <w:r w:rsidRPr="005647CA">
        <w:rPr>
          <w:szCs w:val="20"/>
          <w:lang w:val="en-US"/>
        </w:rPr>
        <w:t xml:space="preserve">(4), 825-838. </w:t>
      </w:r>
      <w:proofErr w:type="spellStart"/>
      <w:r w:rsidRPr="005647CA">
        <w:rPr>
          <w:szCs w:val="20"/>
          <w:lang w:val="en-US"/>
        </w:rPr>
        <w:t>doi:</w:t>
      </w:r>
      <w:hyperlink r:id="rId12" w:history="1">
        <w:r w:rsidRPr="005647CA">
          <w:rPr>
            <w:rStyle w:val="Hipervnculo"/>
            <w:szCs w:val="20"/>
            <w:lang w:val="en-US"/>
          </w:rPr>
          <w:t>https</w:t>
        </w:r>
        <w:proofErr w:type="spellEnd"/>
        <w:r w:rsidRPr="005647CA">
          <w:rPr>
            <w:rStyle w:val="Hipervnculo"/>
            <w:szCs w:val="20"/>
            <w:lang w:val="en-US"/>
          </w:rPr>
          <w:t>://doi.org/10.1016/j.techfore.2012.10.029</w:t>
        </w:r>
      </w:hyperlink>
    </w:p>
    <w:p w14:paraId="630415B6" w14:textId="77777777" w:rsidR="005647CA" w:rsidRPr="005647CA" w:rsidRDefault="005647CA" w:rsidP="005647CA">
      <w:pPr>
        <w:spacing w:line="360" w:lineRule="auto"/>
        <w:ind w:left="709" w:hanging="709"/>
        <w:rPr>
          <w:szCs w:val="20"/>
        </w:rPr>
      </w:pPr>
      <w:r w:rsidRPr="005647CA">
        <w:rPr>
          <w:szCs w:val="20"/>
        </w:rPr>
        <w:t xml:space="preserve">Ramos, J. D., León, A. M., Gómez, L. X. R., Villota, W. C., &amp; Cortez, J. S. (2019). La prospectiva estratégica como herramienta de planeación a largo plazo. </w:t>
      </w:r>
      <w:r w:rsidRPr="005647CA">
        <w:rPr>
          <w:i/>
          <w:szCs w:val="20"/>
        </w:rPr>
        <w:t>Magazine de las Ciencias: Revista de Investigación e Innovación, 4</w:t>
      </w:r>
      <w:r w:rsidRPr="005647CA">
        <w:rPr>
          <w:szCs w:val="20"/>
        </w:rPr>
        <w:t xml:space="preserve">(3), 01-18. </w:t>
      </w:r>
    </w:p>
    <w:p w14:paraId="2EC1C05C" w14:textId="77777777" w:rsidR="005647CA" w:rsidRPr="005647CA" w:rsidRDefault="005647CA" w:rsidP="005647CA">
      <w:pPr>
        <w:spacing w:line="360" w:lineRule="auto"/>
        <w:ind w:left="709" w:hanging="709"/>
        <w:rPr>
          <w:szCs w:val="20"/>
          <w:lang w:val="en-US"/>
        </w:rPr>
      </w:pPr>
      <w:proofErr w:type="spellStart"/>
      <w:r w:rsidRPr="005647CA">
        <w:rPr>
          <w:szCs w:val="20"/>
        </w:rPr>
        <w:t>Reger</w:t>
      </w:r>
      <w:proofErr w:type="spellEnd"/>
      <w:r w:rsidRPr="005647CA">
        <w:rPr>
          <w:szCs w:val="20"/>
        </w:rPr>
        <w:t xml:space="preserve">, G. (2001). </w:t>
      </w:r>
      <w:r w:rsidRPr="005647CA">
        <w:rPr>
          <w:szCs w:val="20"/>
          <w:lang w:val="en-US"/>
        </w:rPr>
        <w:t xml:space="preserve">Technology Foresight in Companies: From an Indicator to a Network and Process Perspective. </w:t>
      </w:r>
      <w:r w:rsidRPr="005647CA">
        <w:rPr>
          <w:i/>
          <w:szCs w:val="20"/>
          <w:lang w:val="en-US"/>
        </w:rPr>
        <w:t>Technology Analysis &amp; Strategic Management, 13</w:t>
      </w:r>
      <w:r w:rsidRPr="005647CA">
        <w:rPr>
          <w:szCs w:val="20"/>
          <w:lang w:val="en-US"/>
        </w:rPr>
        <w:t>(4), 533-553. doi:10.1080/09537320127286</w:t>
      </w:r>
    </w:p>
    <w:p w14:paraId="59FD49B6" w14:textId="77777777" w:rsidR="005647CA" w:rsidRPr="005647CA" w:rsidRDefault="005647CA" w:rsidP="005647CA">
      <w:pPr>
        <w:spacing w:line="360" w:lineRule="auto"/>
        <w:ind w:left="709" w:hanging="709"/>
        <w:rPr>
          <w:szCs w:val="20"/>
          <w:lang w:val="en-US"/>
        </w:rPr>
      </w:pPr>
      <w:proofErr w:type="spellStart"/>
      <w:r w:rsidRPr="005647CA">
        <w:rPr>
          <w:szCs w:val="20"/>
          <w:lang w:val="en-US"/>
        </w:rPr>
        <w:t>Rhisiart</w:t>
      </w:r>
      <w:proofErr w:type="spellEnd"/>
      <w:r w:rsidRPr="005647CA">
        <w:rPr>
          <w:szCs w:val="20"/>
          <w:lang w:val="en-US"/>
        </w:rPr>
        <w:t xml:space="preserve">, M., Miller, R., &amp; Brooks, S. (2015). Learning to use the future: developing foresight capabilities through scenario processes. </w:t>
      </w:r>
      <w:r w:rsidRPr="005647CA">
        <w:rPr>
          <w:i/>
          <w:szCs w:val="20"/>
          <w:lang w:val="en-US"/>
        </w:rPr>
        <w:t>Technological Forecasting and Social Change, 101</w:t>
      </w:r>
      <w:r w:rsidRPr="005647CA">
        <w:rPr>
          <w:szCs w:val="20"/>
          <w:lang w:val="en-US"/>
        </w:rPr>
        <w:t xml:space="preserve">, 124-133. </w:t>
      </w:r>
      <w:proofErr w:type="spellStart"/>
      <w:r w:rsidRPr="005647CA">
        <w:rPr>
          <w:szCs w:val="20"/>
          <w:lang w:val="en-US"/>
        </w:rPr>
        <w:t>doi:</w:t>
      </w:r>
      <w:hyperlink r:id="rId13" w:history="1">
        <w:r w:rsidRPr="005647CA">
          <w:rPr>
            <w:rStyle w:val="Hipervnculo"/>
            <w:szCs w:val="20"/>
            <w:lang w:val="en-US"/>
          </w:rPr>
          <w:t>https</w:t>
        </w:r>
        <w:proofErr w:type="spellEnd"/>
        <w:r w:rsidRPr="005647CA">
          <w:rPr>
            <w:rStyle w:val="Hipervnculo"/>
            <w:szCs w:val="20"/>
            <w:lang w:val="en-US"/>
          </w:rPr>
          <w:t>://doi.org/10.1016/j.techfore.2014.10.015</w:t>
        </w:r>
      </w:hyperlink>
    </w:p>
    <w:p w14:paraId="65019F1C" w14:textId="77777777" w:rsidR="005647CA" w:rsidRPr="005647CA" w:rsidRDefault="005647CA" w:rsidP="005647CA">
      <w:pPr>
        <w:spacing w:line="360" w:lineRule="auto"/>
        <w:ind w:left="709" w:hanging="709"/>
        <w:rPr>
          <w:szCs w:val="20"/>
          <w:lang w:val="en-US"/>
        </w:rPr>
      </w:pPr>
      <w:proofErr w:type="spellStart"/>
      <w:r w:rsidRPr="005647CA">
        <w:rPr>
          <w:szCs w:val="20"/>
          <w:lang w:val="en-US"/>
        </w:rPr>
        <w:t>Rohrbeck</w:t>
      </w:r>
      <w:proofErr w:type="spellEnd"/>
      <w:r w:rsidRPr="005647CA">
        <w:rPr>
          <w:szCs w:val="20"/>
          <w:lang w:val="en-US"/>
        </w:rPr>
        <w:t xml:space="preserve">, R. (2010). </w:t>
      </w:r>
      <w:r w:rsidRPr="005647CA">
        <w:rPr>
          <w:i/>
          <w:szCs w:val="20"/>
          <w:lang w:val="en-US"/>
        </w:rPr>
        <w:t>Corporate Foresight: Towards a Maturity Model for the Future Orientation of a Firm</w:t>
      </w:r>
      <w:r w:rsidRPr="005647CA">
        <w:rPr>
          <w:szCs w:val="20"/>
          <w:lang w:val="en-US"/>
        </w:rPr>
        <w:t xml:space="preserve">. </w:t>
      </w:r>
      <w:proofErr w:type="spellStart"/>
      <w:r w:rsidRPr="005647CA">
        <w:rPr>
          <w:szCs w:val="20"/>
          <w:lang w:val="en-US"/>
        </w:rPr>
        <w:t>Berlín</w:t>
      </w:r>
      <w:proofErr w:type="spellEnd"/>
      <w:r w:rsidRPr="005647CA">
        <w:rPr>
          <w:szCs w:val="20"/>
          <w:lang w:val="en-US"/>
        </w:rPr>
        <w:t>: Springer-Verlag.</w:t>
      </w:r>
    </w:p>
    <w:p w14:paraId="0A41E6C4" w14:textId="77777777" w:rsidR="005647CA" w:rsidRPr="005647CA" w:rsidRDefault="005647CA" w:rsidP="005647CA">
      <w:pPr>
        <w:spacing w:line="360" w:lineRule="auto"/>
        <w:ind w:left="709" w:hanging="709"/>
        <w:rPr>
          <w:szCs w:val="20"/>
          <w:lang w:val="en-US"/>
        </w:rPr>
      </w:pPr>
      <w:proofErr w:type="spellStart"/>
      <w:r w:rsidRPr="005647CA">
        <w:rPr>
          <w:szCs w:val="20"/>
          <w:lang w:val="en-US"/>
        </w:rPr>
        <w:t>Salvato</w:t>
      </w:r>
      <w:proofErr w:type="spellEnd"/>
      <w:r w:rsidRPr="005647CA">
        <w:rPr>
          <w:szCs w:val="20"/>
          <w:lang w:val="en-US"/>
        </w:rPr>
        <w:t xml:space="preserve">, C., &amp; </w:t>
      </w:r>
      <w:proofErr w:type="spellStart"/>
      <w:r w:rsidRPr="005647CA">
        <w:rPr>
          <w:szCs w:val="20"/>
          <w:lang w:val="en-US"/>
        </w:rPr>
        <w:t>Vassolo</w:t>
      </w:r>
      <w:proofErr w:type="spellEnd"/>
      <w:r w:rsidRPr="005647CA">
        <w:rPr>
          <w:szCs w:val="20"/>
          <w:lang w:val="en-US"/>
        </w:rPr>
        <w:t xml:space="preserve">, R. (2018). The sources of dynamism in dynamic capabilities. </w:t>
      </w:r>
      <w:r w:rsidRPr="005647CA">
        <w:rPr>
          <w:i/>
          <w:szCs w:val="20"/>
          <w:lang w:val="en-US"/>
        </w:rPr>
        <w:t>Strategic Management Journal, 39</w:t>
      </w:r>
      <w:r w:rsidRPr="005647CA">
        <w:rPr>
          <w:szCs w:val="20"/>
          <w:lang w:val="en-US"/>
        </w:rPr>
        <w:t xml:space="preserve">(6), 1728-1752. </w:t>
      </w:r>
      <w:proofErr w:type="spellStart"/>
      <w:r w:rsidRPr="005647CA">
        <w:rPr>
          <w:szCs w:val="20"/>
          <w:lang w:val="en-US"/>
        </w:rPr>
        <w:t>doi:</w:t>
      </w:r>
      <w:hyperlink r:id="rId14" w:history="1">
        <w:r w:rsidRPr="005647CA">
          <w:rPr>
            <w:rStyle w:val="Hipervnculo"/>
            <w:szCs w:val="20"/>
            <w:lang w:val="en-US"/>
          </w:rPr>
          <w:t>https</w:t>
        </w:r>
        <w:proofErr w:type="spellEnd"/>
        <w:r w:rsidRPr="005647CA">
          <w:rPr>
            <w:rStyle w:val="Hipervnculo"/>
            <w:szCs w:val="20"/>
            <w:lang w:val="en-US"/>
          </w:rPr>
          <w:t>://doi.org/10.1002/smj.2703</w:t>
        </w:r>
      </w:hyperlink>
    </w:p>
    <w:p w14:paraId="1D3EAEC5" w14:textId="77777777" w:rsidR="005647CA" w:rsidRPr="005647CA" w:rsidRDefault="005647CA" w:rsidP="005647CA">
      <w:pPr>
        <w:spacing w:line="360" w:lineRule="auto"/>
        <w:ind w:left="709" w:hanging="709"/>
        <w:rPr>
          <w:szCs w:val="20"/>
          <w:lang w:val="en-US"/>
        </w:rPr>
      </w:pPr>
      <w:r w:rsidRPr="005647CA">
        <w:rPr>
          <w:szCs w:val="20"/>
          <w:lang w:val="en-US"/>
        </w:rPr>
        <w:t xml:space="preserve">Schwarz, J. O., </w:t>
      </w:r>
      <w:proofErr w:type="spellStart"/>
      <w:r w:rsidRPr="005647CA">
        <w:rPr>
          <w:szCs w:val="20"/>
          <w:lang w:val="en-US"/>
        </w:rPr>
        <w:t>Rohrbeck</w:t>
      </w:r>
      <w:proofErr w:type="spellEnd"/>
      <w:r w:rsidRPr="005647CA">
        <w:rPr>
          <w:szCs w:val="20"/>
          <w:lang w:val="en-US"/>
        </w:rPr>
        <w:t xml:space="preserve">, R., &amp; </w:t>
      </w:r>
      <w:proofErr w:type="spellStart"/>
      <w:r w:rsidRPr="005647CA">
        <w:rPr>
          <w:szCs w:val="20"/>
          <w:lang w:val="en-US"/>
        </w:rPr>
        <w:t>Wach</w:t>
      </w:r>
      <w:proofErr w:type="spellEnd"/>
      <w:r w:rsidRPr="005647CA">
        <w:rPr>
          <w:szCs w:val="20"/>
          <w:lang w:val="en-US"/>
        </w:rPr>
        <w:t xml:space="preserve">, B. (2019). Corporate foresight as a </w:t>
      </w:r>
      <w:proofErr w:type="spellStart"/>
      <w:r w:rsidRPr="005647CA">
        <w:rPr>
          <w:szCs w:val="20"/>
          <w:lang w:val="en-US"/>
        </w:rPr>
        <w:t>microfoundation</w:t>
      </w:r>
      <w:proofErr w:type="spellEnd"/>
      <w:r w:rsidRPr="005647CA">
        <w:rPr>
          <w:szCs w:val="20"/>
          <w:lang w:val="en-US"/>
        </w:rPr>
        <w:t xml:space="preserve"> of dynamic capabilities. </w:t>
      </w:r>
      <w:r w:rsidRPr="005647CA">
        <w:rPr>
          <w:i/>
          <w:szCs w:val="20"/>
          <w:lang w:val="en-US"/>
        </w:rPr>
        <w:t>FUTURES &amp; FORESIGHT SCIENCE</w:t>
      </w:r>
      <w:r w:rsidRPr="005647CA">
        <w:rPr>
          <w:szCs w:val="20"/>
          <w:lang w:val="en-US"/>
        </w:rPr>
        <w:t xml:space="preserve">, e28. </w:t>
      </w:r>
    </w:p>
    <w:p w14:paraId="08C36C93" w14:textId="77777777" w:rsidR="005647CA" w:rsidRPr="005647CA" w:rsidRDefault="005647CA" w:rsidP="005647CA">
      <w:pPr>
        <w:spacing w:line="360" w:lineRule="auto"/>
        <w:ind w:left="709" w:hanging="709"/>
        <w:rPr>
          <w:szCs w:val="20"/>
          <w:lang w:val="en-US"/>
        </w:rPr>
      </w:pPr>
      <w:proofErr w:type="spellStart"/>
      <w:r w:rsidRPr="005647CA">
        <w:rPr>
          <w:szCs w:val="20"/>
          <w:lang w:val="en-US"/>
        </w:rPr>
        <w:lastRenderedPageBreak/>
        <w:t>Semke</w:t>
      </w:r>
      <w:proofErr w:type="spellEnd"/>
      <w:r w:rsidRPr="005647CA">
        <w:rPr>
          <w:szCs w:val="20"/>
          <w:lang w:val="en-US"/>
        </w:rPr>
        <w:t xml:space="preserve">, L.-M., &amp; Tiberius, V. (2020). Corporate Foresight and Dynamic Capabilities: An Exploratory Study. </w:t>
      </w:r>
      <w:r w:rsidRPr="005647CA">
        <w:rPr>
          <w:i/>
          <w:szCs w:val="20"/>
          <w:lang w:val="en-US"/>
        </w:rPr>
        <w:t>Forecasting, 2</w:t>
      </w:r>
      <w:r w:rsidRPr="005647CA">
        <w:rPr>
          <w:szCs w:val="20"/>
          <w:lang w:val="en-US"/>
        </w:rPr>
        <w:t xml:space="preserve">(2), 180-193. </w:t>
      </w:r>
    </w:p>
    <w:p w14:paraId="4C28EEEF" w14:textId="77777777" w:rsidR="005647CA" w:rsidRPr="005647CA" w:rsidRDefault="005647CA" w:rsidP="005647CA">
      <w:pPr>
        <w:spacing w:line="360" w:lineRule="auto"/>
        <w:ind w:left="709" w:hanging="709"/>
        <w:rPr>
          <w:szCs w:val="20"/>
          <w:lang w:val="en-US"/>
        </w:rPr>
      </w:pPr>
      <w:r w:rsidRPr="005647CA">
        <w:rPr>
          <w:szCs w:val="20"/>
          <w:lang w:val="en-US"/>
        </w:rPr>
        <w:t xml:space="preserve">Slaughter, R. A. (1998). Futures Studies as an Intellectual and Applied Discipline. </w:t>
      </w:r>
      <w:r w:rsidRPr="005647CA">
        <w:rPr>
          <w:i/>
          <w:szCs w:val="20"/>
          <w:lang w:val="en-US"/>
        </w:rPr>
        <w:t>Futures Studies as an Intellectual and Applied Discipline, 42</w:t>
      </w:r>
      <w:r w:rsidRPr="005647CA">
        <w:rPr>
          <w:szCs w:val="20"/>
          <w:lang w:val="en-US"/>
        </w:rPr>
        <w:t>(3), 372-385. doi:10.1177/0002764298042003008</w:t>
      </w:r>
    </w:p>
    <w:p w14:paraId="5963351E" w14:textId="77777777" w:rsidR="005647CA" w:rsidRPr="005647CA" w:rsidRDefault="005647CA" w:rsidP="005647CA">
      <w:pPr>
        <w:spacing w:line="360" w:lineRule="auto"/>
        <w:ind w:left="709" w:hanging="709"/>
        <w:rPr>
          <w:szCs w:val="20"/>
          <w:lang w:val="en-US"/>
        </w:rPr>
      </w:pPr>
      <w:r w:rsidRPr="005647CA">
        <w:rPr>
          <w:szCs w:val="20"/>
          <w:lang w:val="en-US"/>
        </w:rPr>
        <w:t xml:space="preserve">Teece, D. J. (2007). EXPLICATING DYNAMIC CAPABILITIES: THE NATURE AND MICROFOUNDATIONS OF (SUSTAINABLE) ENTERPRISE PERFORMANCE. </w:t>
      </w:r>
      <w:r w:rsidRPr="005647CA">
        <w:rPr>
          <w:i/>
          <w:szCs w:val="20"/>
          <w:lang w:val="en-US"/>
        </w:rPr>
        <w:t>Strategic Management Journal, 28</w:t>
      </w:r>
      <w:r w:rsidRPr="005647CA">
        <w:rPr>
          <w:szCs w:val="20"/>
          <w:lang w:val="en-US"/>
        </w:rPr>
        <w:t>(1), 1319-1350. doi:10.1002/smj.640</w:t>
      </w:r>
    </w:p>
    <w:p w14:paraId="4DF9A820" w14:textId="77777777" w:rsidR="005647CA" w:rsidRPr="005647CA" w:rsidRDefault="005647CA" w:rsidP="005647CA">
      <w:pPr>
        <w:spacing w:line="360" w:lineRule="auto"/>
        <w:ind w:left="709" w:hanging="709"/>
        <w:rPr>
          <w:szCs w:val="20"/>
          <w:lang w:val="en-US"/>
        </w:rPr>
      </w:pPr>
      <w:r w:rsidRPr="005647CA">
        <w:rPr>
          <w:szCs w:val="20"/>
          <w:lang w:val="en-US"/>
        </w:rPr>
        <w:t xml:space="preserve">Teece, D. J. (2017). Business models and dynamic capabilities. </w:t>
      </w:r>
      <w:r w:rsidRPr="005647CA">
        <w:rPr>
          <w:i/>
          <w:szCs w:val="20"/>
          <w:lang w:val="en-US"/>
        </w:rPr>
        <w:t>Long Range Planning</w:t>
      </w:r>
      <w:r w:rsidRPr="005647CA">
        <w:rPr>
          <w:szCs w:val="20"/>
          <w:lang w:val="en-US"/>
        </w:rPr>
        <w:t xml:space="preserve">. </w:t>
      </w:r>
      <w:proofErr w:type="spellStart"/>
      <w:r w:rsidRPr="005647CA">
        <w:rPr>
          <w:szCs w:val="20"/>
          <w:lang w:val="en-US"/>
        </w:rPr>
        <w:t>doi:</w:t>
      </w:r>
      <w:hyperlink r:id="rId15" w:history="1">
        <w:r w:rsidRPr="005647CA">
          <w:rPr>
            <w:rStyle w:val="Hipervnculo"/>
            <w:szCs w:val="20"/>
            <w:lang w:val="en-US"/>
          </w:rPr>
          <w:t>https</w:t>
        </w:r>
        <w:proofErr w:type="spellEnd"/>
        <w:r w:rsidRPr="005647CA">
          <w:rPr>
            <w:rStyle w:val="Hipervnculo"/>
            <w:szCs w:val="20"/>
            <w:lang w:val="en-US"/>
          </w:rPr>
          <w:t>://doi.org/10.1016/j.lrp.2017.06.007</w:t>
        </w:r>
      </w:hyperlink>
    </w:p>
    <w:p w14:paraId="7DB3A07F" w14:textId="77777777" w:rsidR="005647CA" w:rsidRPr="005647CA" w:rsidRDefault="005647CA" w:rsidP="005647CA">
      <w:pPr>
        <w:spacing w:line="360" w:lineRule="auto"/>
        <w:ind w:left="709" w:hanging="709"/>
        <w:rPr>
          <w:szCs w:val="20"/>
          <w:lang w:val="en-US"/>
        </w:rPr>
      </w:pPr>
      <w:proofErr w:type="spellStart"/>
      <w:r w:rsidRPr="005647CA">
        <w:rPr>
          <w:szCs w:val="20"/>
        </w:rPr>
        <w:t>Teece</w:t>
      </w:r>
      <w:proofErr w:type="spellEnd"/>
      <w:r w:rsidRPr="005647CA">
        <w:rPr>
          <w:szCs w:val="20"/>
        </w:rPr>
        <w:t xml:space="preserve">, D. J., Pisano, G., &amp; </w:t>
      </w:r>
      <w:proofErr w:type="spellStart"/>
      <w:r w:rsidRPr="005647CA">
        <w:rPr>
          <w:szCs w:val="20"/>
        </w:rPr>
        <w:t>Shuen</w:t>
      </w:r>
      <w:proofErr w:type="spellEnd"/>
      <w:r w:rsidRPr="005647CA">
        <w:rPr>
          <w:szCs w:val="20"/>
        </w:rPr>
        <w:t xml:space="preserve">, A. (1997). </w:t>
      </w:r>
      <w:r w:rsidRPr="005647CA">
        <w:rPr>
          <w:szCs w:val="20"/>
          <w:lang w:val="en-US"/>
        </w:rPr>
        <w:t xml:space="preserve">Dynamic Capabilities and Strategic Management. </w:t>
      </w:r>
      <w:r w:rsidRPr="005647CA">
        <w:rPr>
          <w:i/>
          <w:szCs w:val="20"/>
          <w:lang w:val="en-US"/>
        </w:rPr>
        <w:t>Strategic Management Journal, 18</w:t>
      </w:r>
      <w:r w:rsidRPr="005647CA">
        <w:rPr>
          <w:szCs w:val="20"/>
          <w:lang w:val="en-US"/>
        </w:rPr>
        <w:t xml:space="preserve">(7), 509-533. </w:t>
      </w:r>
    </w:p>
    <w:p w14:paraId="6F213646" w14:textId="77777777" w:rsidR="005647CA" w:rsidRPr="005647CA" w:rsidRDefault="005647CA" w:rsidP="005647CA">
      <w:pPr>
        <w:spacing w:line="360" w:lineRule="auto"/>
        <w:ind w:left="709" w:hanging="709"/>
        <w:rPr>
          <w:szCs w:val="20"/>
          <w:lang w:val="en-US"/>
        </w:rPr>
      </w:pPr>
      <w:proofErr w:type="spellStart"/>
      <w:r w:rsidRPr="005647CA">
        <w:rPr>
          <w:szCs w:val="20"/>
          <w:lang w:val="en-US"/>
        </w:rPr>
        <w:t>Vecchiato</w:t>
      </w:r>
      <w:proofErr w:type="spellEnd"/>
      <w:r w:rsidRPr="005647CA">
        <w:rPr>
          <w:szCs w:val="20"/>
          <w:lang w:val="en-US"/>
        </w:rPr>
        <w:t xml:space="preserve">, R. (2015). Creating value through foresight: First mover advantages and strategic agility. </w:t>
      </w:r>
      <w:r w:rsidRPr="005647CA">
        <w:rPr>
          <w:i/>
          <w:szCs w:val="20"/>
          <w:lang w:val="en-US"/>
        </w:rPr>
        <w:t>Technological Forecasting and Social Change, 101</w:t>
      </w:r>
      <w:r w:rsidRPr="005647CA">
        <w:rPr>
          <w:szCs w:val="20"/>
          <w:lang w:val="en-US"/>
        </w:rPr>
        <w:t xml:space="preserve">, 25-36. </w:t>
      </w:r>
      <w:proofErr w:type="spellStart"/>
      <w:r w:rsidRPr="005647CA">
        <w:rPr>
          <w:szCs w:val="20"/>
          <w:lang w:val="en-US"/>
        </w:rPr>
        <w:t>doi:</w:t>
      </w:r>
      <w:hyperlink r:id="rId16" w:history="1">
        <w:r w:rsidRPr="005647CA">
          <w:rPr>
            <w:rStyle w:val="Hipervnculo"/>
            <w:szCs w:val="20"/>
            <w:lang w:val="en-US"/>
          </w:rPr>
          <w:t>https</w:t>
        </w:r>
        <w:proofErr w:type="spellEnd"/>
        <w:r w:rsidRPr="005647CA">
          <w:rPr>
            <w:rStyle w:val="Hipervnculo"/>
            <w:szCs w:val="20"/>
            <w:lang w:val="en-US"/>
          </w:rPr>
          <w:t>://doi.org/10.1016/j.techfore.2014.08.016</w:t>
        </w:r>
      </w:hyperlink>
    </w:p>
    <w:p w14:paraId="682C0B4C" w14:textId="77777777" w:rsidR="005647CA" w:rsidRPr="005647CA" w:rsidRDefault="005647CA" w:rsidP="005647CA">
      <w:pPr>
        <w:spacing w:line="360" w:lineRule="auto"/>
        <w:ind w:left="709" w:hanging="709"/>
        <w:rPr>
          <w:szCs w:val="20"/>
          <w:lang w:val="en-US"/>
        </w:rPr>
      </w:pPr>
      <w:r w:rsidRPr="005647CA">
        <w:rPr>
          <w:szCs w:val="20"/>
          <w:lang w:val="en-US"/>
        </w:rPr>
        <w:t>Wenzel, M., Danner-</w:t>
      </w:r>
      <w:proofErr w:type="spellStart"/>
      <w:r w:rsidRPr="005647CA">
        <w:rPr>
          <w:szCs w:val="20"/>
          <w:lang w:val="en-US"/>
        </w:rPr>
        <w:t>Schröder</w:t>
      </w:r>
      <w:proofErr w:type="spellEnd"/>
      <w:r w:rsidRPr="005647CA">
        <w:rPr>
          <w:szCs w:val="20"/>
          <w:lang w:val="en-US"/>
        </w:rPr>
        <w:t xml:space="preserve">, A., &amp; </w:t>
      </w:r>
      <w:proofErr w:type="spellStart"/>
      <w:r w:rsidRPr="005647CA">
        <w:rPr>
          <w:szCs w:val="20"/>
          <w:lang w:val="en-US"/>
        </w:rPr>
        <w:t>Spee</w:t>
      </w:r>
      <w:proofErr w:type="spellEnd"/>
      <w:r w:rsidRPr="005647CA">
        <w:rPr>
          <w:szCs w:val="20"/>
          <w:lang w:val="en-US"/>
        </w:rPr>
        <w:t xml:space="preserve">, A. P. (2020). Dynamic Capabilities? Unleashing Their Dynamics through a Practice Perspective on Organizational Routines. </w:t>
      </w:r>
      <w:r w:rsidRPr="005647CA">
        <w:rPr>
          <w:i/>
          <w:szCs w:val="20"/>
          <w:lang w:val="en-US"/>
        </w:rPr>
        <w:t>Journal of Management Inquiry, 1</w:t>
      </w:r>
      <w:r w:rsidRPr="005647CA">
        <w:rPr>
          <w:szCs w:val="20"/>
          <w:lang w:val="en-US"/>
        </w:rPr>
        <w:t>(12), 1056492620916549. doi:10.1177/1056492620916549</w:t>
      </w:r>
    </w:p>
    <w:p w14:paraId="7CBA43CA" w14:textId="77777777" w:rsidR="005647CA" w:rsidRPr="005647CA" w:rsidRDefault="005647CA" w:rsidP="005647CA">
      <w:pPr>
        <w:spacing w:line="360" w:lineRule="auto"/>
        <w:ind w:left="709" w:hanging="709"/>
        <w:rPr>
          <w:szCs w:val="20"/>
          <w:lang w:val="en-US"/>
        </w:rPr>
      </w:pPr>
      <w:proofErr w:type="spellStart"/>
      <w:r w:rsidRPr="005647CA">
        <w:rPr>
          <w:szCs w:val="20"/>
          <w:lang w:val="en-US"/>
        </w:rPr>
        <w:t>Wernerfelt</w:t>
      </w:r>
      <w:proofErr w:type="spellEnd"/>
      <w:r w:rsidRPr="005647CA">
        <w:rPr>
          <w:szCs w:val="20"/>
          <w:lang w:val="en-US"/>
        </w:rPr>
        <w:t xml:space="preserve">, B. (1984). A resource-based view of the firm. </w:t>
      </w:r>
      <w:r w:rsidRPr="005647CA">
        <w:rPr>
          <w:i/>
          <w:szCs w:val="20"/>
          <w:lang w:val="en-US"/>
        </w:rPr>
        <w:t>Strategic Management Journal, 5</w:t>
      </w:r>
      <w:r w:rsidRPr="005647CA">
        <w:rPr>
          <w:szCs w:val="20"/>
          <w:lang w:val="en-US"/>
        </w:rPr>
        <w:t>(2), 171-180. doi:10.1002/smj.4250050207</w:t>
      </w:r>
    </w:p>
    <w:p w14:paraId="10C78CC7" w14:textId="77777777" w:rsidR="005647CA" w:rsidRPr="005647CA" w:rsidRDefault="005647CA" w:rsidP="005647CA">
      <w:pPr>
        <w:spacing w:line="360" w:lineRule="auto"/>
        <w:ind w:left="709" w:hanging="709"/>
        <w:rPr>
          <w:szCs w:val="20"/>
          <w:lang w:val="en-US"/>
        </w:rPr>
      </w:pPr>
      <w:r w:rsidRPr="005647CA">
        <w:rPr>
          <w:szCs w:val="20"/>
          <w:lang w:val="en-US"/>
        </w:rPr>
        <w:t xml:space="preserve">Wiener, M. (2018). Open foresight: The influence of organizational context. </w:t>
      </w:r>
      <w:r w:rsidRPr="005647CA">
        <w:rPr>
          <w:i/>
          <w:szCs w:val="20"/>
          <w:lang w:val="en-US"/>
        </w:rPr>
        <w:t>Creativity and Innovation Management, 27</w:t>
      </w:r>
      <w:r w:rsidRPr="005647CA">
        <w:rPr>
          <w:szCs w:val="20"/>
          <w:lang w:val="en-US"/>
        </w:rPr>
        <w:t xml:space="preserve">(1), 56-68. </w:t>
      </w:r>
      <w:proofErr w:type="spellStart"/>
      <w:r w:rsidRPr="005647CA">
        <w:rPr>
          <w:szCs w:val="20"/>
          <w:lang w:val="en-US"/>
        </w:rPr>
        <w:t>doi:</w:t>
      </w:r>
      <w:hyperlink r:id="rId17" w:history="1">
        <w:r w:rsidRPr="005647CA">
          <w:rPr>
            <w:rStyle w:val="Hipervnculo"/>
            <w:szCs w:val="20"/>
            <w:lang w:val="en-US"/>
          </w:rPr>
          <w:t>https</w:t>
        </w:r>
        <w:proofErr w:type="spellEnd"/>
        <w:r w:rsidRPr="005647CA">
          <w:rPr>
            <w:rStyle w:val="Hipervnculo"/>
            <w:szCs w:val="20"/>
            <w:lang w:val="en-US"/>
          </w:rPr>
          <w:t>://doi.org/10.1111/caim.12238</w:t>
        </w:r>
      </w:hyperlink>
    </w:p>
    <w:p w14:paraId="52707373" w14:textId="77777777" w:rsidR="005647CA" w:rsidRPr="005647CA" w:rsidRDefault="005647CA" w:rsidP="005647CA">
      <w:pPr>
        <w:spacing w:line="360" w:lineRule="auto"/>
        <w:ind w:left="709" w:hanging="709"/>
        <w:rPr>
          <w:szCs w:val="20"/>
          <w:lang w:val="en-US"/>
        </w:rPr>
      </w:pPr>
      <w:r w:rsidRPr="005647CA">
        <w:rPr>
          <w:szCs w:val="20"/>
          <w:lang w:val="en-US"/>
        </w:rPr>
        <w:t>Will, M. (2008). Talking about the future within an SME</w:t>
      </w:r>
      <w:proofErr w:type="gramStart"/>
      <w:r w:rsidRPr="005647CA">
        <w:rPr>
          <w:szCs w:val="20"/>
          <w:lang w:val="en-US"/>
        </w:rPr>
        <w:t>?:</w:t>
      </w:r>
      <w:proofErr w:type="gramEnd"/>
      <w:r w:rsidRPr="005647CA">
        <w:rPr>
          <w:szCs w:val="20"/>
          <w:lang w:val="en-US"/>
        </w:rPr>
        <w:t xml:space="preserve"> Corporate foresight and the potential contributions to sustainable development. </w:t>
      </w:r>
      <w:r w:rsidRPr="005647CA">
        <w:rPr>
          <w:i/>
          <w:szCs w:val="20"/>
          <w:lang w:val="en-US"/>
        </w:rPr>
        <w:t>Management of Environmental Quality: An International Journal, 19</w:t>
      </w:r>
      <w:r w:rsidRPr="005647CA">
        <w:rPr>
          <w:szCs w:val="20"/>
          <w:lang w:val="en-US"/>
        </w:rPr>
        <w:t xml:space="preserve">(2), 234-242. </w:t>
      </w:r>
      <w:proofErr w:type="gramStart"/>
      <w:r w:rsidRPr="005647CA">
        <w:rPr>
          <w:szCs w:val="20"/>
          <w:lang w:val="en-US"/>
        </w:rPr>
        <w:t>doi:doi.org</w:t>
      </w:r>
      <w:proofErr w:type="gramEnd"/>
      <w:r w:rsidRPr="005647CA">
        <w:rPr>
          <w:szCs w:val="20"/>
          <w:lang w:val="en-US"/>
        </w:rPr>
        <w:t>/10.1108/14777830810856618</w:t>
      </w:r>
    </w:p>
    <w:p w14:paraId="3F09F5B8" w14:textId="77777777" w:rsidR="005647CA" w:rsidRPr="005647CA" w:rsidRDefault="005647CA" w:rsidP="005647CA">
      <w:pPr>
        <w:spacing w:line="360" w:lineRule="auto"/>
        <w:ind w:left="709" w:hanging="709"/>
        <w:rPr>
          <w:szCs w:val="20"/>
          <w:lang w:val="en-US"/>
        </w:rPr>
      </w:pPr>
      <w:proofErr w:type="spellStart"/>
      <w:r w:rsidRPr="005647CA">
        <w:rPr>
          <w:szCs w:val="20"/>
        </w:rPr>
        <w:t>Yoon</w:t>
      </w:r>
      <w:proofErr w:type="spellEnd"/>
      <w:r w:rsidRPr="005647CA">
        <w:rPr>
          <w:szCs w:val="20"/>
        </w:rPr>
        <w:t xml:space="preserve">, J., Kim, Y., </w:t>
      </w:r>
      <w:proofErr w:type="spellStart"/>
      <w:r w:rsidRPr="005647CA">
        <w:rPr>
          <w:szCs w:val="20"/>
        </w:rPr>
        <w:t>Vonortas</w:t>
      </w:r>
      <w:proofErr w:type="spellEnd"/>
      <w:r w:rsidRPr="005647CA">
        <w:rPr>
          <w:szCs w:val="20"/>
        </w:rPr>
        <w:t xml:space="preserve">, N. S., &amp; Han, S. W. (2018). </w:t>
      </w:r>
      <w:r w:rsidRPr="005647CA">
        <w:rPr>
          <w:szCs w:val="20"/>
          <w:lang w:val="en-US"/>
        </w:rPr>
        <w:t xml:space="preserve">Corporate foresight and innovation: the effects of integrative capabilities and </w:t>
      </w:r>
      <w:proofErr w:type="spellStart"/>
      <w:r w:rsidRPr="005647CA">
        <w:rPr>
          <w:szCs w:val="20"/>
          <w:lang w:val="en-US"/>
        </w:rPr>
        <w:t>organisational</w:t>
      </w:r>
      <w:proofErr w:type="spellEnd"/>
      <w:r w:rsidRPr="005647CA">
        <w:rPr>
          <w:szCs w:val="20"/>
          <w:lang w:val="en-US"/>
        </w:rPr>
        <w:t xml:space="preserve"> learning. </w:t>
      </w:r>
      <w:r w:rsidRPr="005647CA">
        <w:rPr>
          <w:i/>
          <w:szCs w:val="20"/>
          <w:lang w:val="en-US"/>
        </w:rPr>
        <w:lastRenderedPageBreak/>
        <w:t>Technology Analysis &amp; Strategic Management, 30</w:t>
      </w:r>
      <w:r w:rsidRPr="005647CA">
        <w:rPr>
          <w:szCs w:val="20"/>
          <w:lang w:val="en-US"/>
        </w:rPr>
        <w:t>(6), 633-645. doi:10.1080/09537325.2017.1395407</w:t>
      </w:r>
    </w:p>
    <w:p w14:paraId="7C245FBE" w14:textId="77777777" w:rsidR="005647CA" w:rsidRPr="005647CA" w:rsidRDefault="005647CA" w:rsidP="005647CA">
      <w:pPr>
        <w:spacing w:line="360" w:lineRule="auto"/>
        <w:ind w:left="709" w:hanging="709"/>
        <w:rPr>
          <w:szCs w:val="20"/>
          <w:lang w:val="en-US"/>
        </w:rPr>
      </w:pPr>
      <w:r w:rsidRPr="005647CA">
        <w:rPr>
          <w:szCs w:val="20"/>
          <w:lang w:val="en-US"/>
        </w:rPr>
        <w:t xml:space="preserve">Zahedi, M. R., &amp; </w:t>
      </w:r>
      <w:proofErr w:type="spellStart"/>
      <w:r w:rsidRPr="005647CA">
        <w:rPr>
          <w:szCs w:val="20"/>
          <w:lang w:val="en-US"/>
        </w:rPr>
        <w:t>Papoli</w:t>
      </w:r>
      <w:proofErr w:type="spellEnd"/>
      <w:r w:rsidRPr="005647CA">
        <w:rPr>
          <w:szCs w:val="20"/>
          <w:lang w:val="en-US"/>
        </w:rPr>
        <w:t xml:space="preserve">, S. (2018). Studying the Relationship between the Knowledge Management Processes and Intellectual Capital in a Knowledge-Based Research Center. </w:t>
      </w:r>
      <w:r w:rsidRPr="005647CA">
        <w:rPr>
          <w:i/>
          <w:szCs w:val="20"/>
          <w:lang w:val="en-US"/>
        </w:rPr>
        <w:t>International Journal of Research in Business Studies and Management, 5</w:t>
      </w:r>
      <w:r w:rsidRPr="005647CA">
        <w:rPr>
          <w:szCs w:val="20"/>
          <w:lang w:val="en-US"/>
        </w:rPr>
        <w:t xml:space="preserve">(12), 1-19. </w:t>
      </w:r>
    </w:p>
    <w:p w14:paraId="6D28D31C" w14:textId="43FA75EE" w:rsidR="00D35C7F" w:rsidRPr="00791128" w:rsidRDefault="005647CA" w:rsidP="00791128">
      <w:pPr>
        <w:spacing w:line="360" w:lineRule="auto"/>
        <w:ind w:left="709" w:hanging="709"/>
        <w:rPr>
          <w:szCs w:val="20"/>
        </w:rPr>
      </w:pPr>
      <w:proofErr w:type="spellStart"/>
      <w:r w:rsidRPr="005647CA">
        <w:rPr>
          <w:szCs w:val="20"/>
          <w:lang w:val="en-US"/>
        </w:rPr>
        <w:t>Zollo</w:t>
      </w:r>
      <w:proofErr w:type="spellEnd"/>
      <w:r w:rsidRPr="005647CA">
        <w:rPr>
          <w:szCs w:val="20"/>
          <w:lang w:val="en-US"/>
        </w:rPr>
        <w:t xml:space="preserve">, M., &amp; Winter, S. G. (2002). Deliberate Learning and the Evolution of Dynamic Capabilities. </w:t>
      </w:r>
      <w:proofErr w:type="spellStart"/>
      <w:r w:rsidRPr="005647CA">
        <w:rPr>
          <w:i/>
          <w:szCs w:val="20"/>
        </w:rPr>
        <w:t>Organization</w:t>
      </w:r>
      <w:proofErr w:type="spellEnd"/>
      <w:r w:rsidRPr="005647CA">
        <w:rPr>
          <w:i/>
          <w:szCs w:val="20"/>
        </w:rPr>
        <w:t xml:space="preserve"> </w:t>
      </w:r>
      <w:proofErr w:type="spellStart"/>
      <w:r w:rsidRPr="005647CA">
        <w:rPr>
          <w:i/>
          <w:szCs w:val="20"/>
        </w:rPr>
        <w:t>Science</w:t>
      </w:r>
      <w:proofErr w:type="spellEnd"/>
      <w:r w:rsidRPr="005647CA">
        <w:rPr>
          <w:i/>
          <w:szCs w:val="20"/>
        </w:rPr>
        <w:t>, 13</w:t>
      </w:r>
      <w:r w:rsidRPr="005647CA">
        <w:rPr>
          <w:szCs w:val="20"/>
        </w:rPr>
        <w:t>(3), 339-351. doi:10.1287/orsc.13.3.339.2780</w:t>
      </w:r>
    </w:p>
    <w:sectPr w:rsidR="00D35C7F" w:rsidRPr="00791128" w:rsidSect="00C3452D">
      <w:headerReference w:type="default" r:id="rId18"/>
      <w:footerReference w:type="default" r:id="rId19"/>
      <w:pgSz w:w="12240" w:h="15840" w:code="1"/>
      <w:pgMar w:top="1418" w:right="1418" w:bottom="1418"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81D8A" w14:textId="77777777" w:rsidR="00C80E01" w:rsidRDefault="00C80E01" w:rsidP="008364AB">
      <w:r>
        <w:separator/>
      </w:r>
    </w:p>
  </w:endnote>
  <w:endnote w:type="continuationSeparator" w:id="0">
    <w:p w14:paraId="46E190B5" w14:textId="77777777" w:rsidR="00C80E01" w:rsidRDefault="00C80E01" w:rsidP="0083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6865F" w14:textId="16AE897F" w:rsidR="00D35C7F" w:rsidRPr="005C1920" w:rsidRDefault="004F76A5" w:rsidP="005C1920">
    <w:pPr>
      <w:pStyle w:val="Piedepgina"/>
      <w:jc w:val="center"/>
      <w:rPr>
        <w:rFonts w:ascii="Arial" w:hAnsi="Arial" w:cs="Arial"/>
        <w:sz w:val="16"/>
        <w:szCs w:val="16"/>
      </w:rPr>
    </w:pPr>
    <w:r>
      <w:rPr>
        <w:rFonts w:ascii="Arial" w:hAnsi="Arial" w:cs="Arial"/>
        <w:sz w:val="16"/>
        <w:szCs w:val="16"/>
      </w:rPr>
      <w:t>CIGECOM</w:t>
    </w:r>
    <w:r w:rsidR="00E20E7A" w:rsidRPr="005C1920">
      <w:rPr>
        <w:rFonts w:ascii="Arial" w:hAnsi="Arial" w:cs="Arial"/>
        <w:sz w:val="16"/>
        <w:szCs w:val="16"/>
      </w:rPr>
      <w:t xml:space="preserve"> 20</w:t>
    </w:r>
    <w:r>
      <w:rPr>
        <w:rFonts w:ascii="Arial" w:hAnsi="Arial" w:cs="Arial"/>
        <w:sz w:val="16"/>
        <w:szCs w:val="16"/>
      </w:rPr>
      <w:t>2</w:t>
    </w:r>
    <w:r w:rsidR="007754B7">
      <w:rPr>
        <w:rFonts w:ascii="Arial" w:hAnsi="Arial" w:cs="Arial"/>
        <w:sz w:val="16"/>
        <w:szCs w:val="16"/>
      </w:rPr>
      <w:t>1</w:t>
    </w:r>
  </w:p>
  <w:p w14:paraId="738DACAC" w14:textId="47EF5BD3" w:rsidR="005C1920" w:rsidRPr="005C1920" w:rsidRDefault="004F76A5" w:rsidP="007754B7">
    <w:pPr>
      <w:pStyle w:val="Sinespaciado"/>
      <w:jc w:val="center"/>
      <w:rPr>
        <w:rFonts w:ascii="Arial" w:hAnsi="Arial" w:cs="Arial"/>
        <w:color w:val="1D1B11"/>
        <w:sz w:val="16"/>
        <w:szCs w:val="16"/>
        <w:lang w:eastAsia="zh-TW"/>
      </w:rPr>
    </w:pPr>
    <w:r w:rsidRPr="004F76A5">
      <w:rPr>
        <w:bCs/>
        <w:color w:val="25314B"/>
        <w:sz w:val="14"/>
        <w:szCs w:val="32"/>
      </w:rPr>
      <w:t xml:space="preserve">CONGRESO </w:t>
    </w:r>
    <w:r w:rsidR="007754B7">
      <w:rPr>
        <w:bCs/>
        <w:color w:val="25314B"/>
        <w:sz w:val="14"/>
        <w:szCs w:val="32"/>
      </w:rPr>
      <w:t>INTERNACIONAL EN GESTIÓN COMPETITIVA, TECNOLOGÍA E INNOVACIÓN, COLOQUIO ESTUDIANTIL Y IV ENCUENTRO DE INVESTIGADORES DE LA RED IBEROAMERICANA RITMMA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4E33B" w14:textId="77777777" w:rsidR="00C80E01" w:rsidRDefault="00C80E01" w:rsidP="008364AB">
      <w:r>
        <w:separator/>
      </w:r>
    </w:p>
  </w:footnote>
  <w:footnote w:type="continuationSeparator" w:id="0">
    <w:p w14:paraId="4E1DD305" w14:textId="77777777" w:rsidR="00C80E01" w:rsidRDefault="00C80E01" w:rsidP="008364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A09AA" w14:textId="3DFD96B6" w:rsidR="00D35C7F" w:rsidRPr="00E92483" w:rsidRDefault="007D476C" w:rsidP="00802876">
    <w:pPr>
      <w:pStyle w:val="Encabezado"/>
      <w:rPr>
        <w:rFonts w:ascii="Arial" w:hAnsi="Arial" w:cs="Arial"/>
        <w:color w:val="1D1B11"/>
      </w:rPr>
    </w:pPr>
    <w:r w:rsidRPr="007D476C">
      <w:rPr>
        <w:rFonts w:ascii="Arial" w:hAnsi="Arial" w:cs="Arial"/>
        <w:noProof/>
        <w:color w:val="1D1B11"/>
      </w:rPr>
      <w:drawing>
        <wp:anchor distT="0" distB="0" distL="114300" distR="114300" simplePos="0" relativeHeight="251661312" behindDoc="0" locked="0" layoutInCell="1" allowOverlap="1" wp14:anchorId="4E3E0432" wp14:editId="6EDAAE8C">
          <wp:simplePos x="0" y="0"/>
          <wp:positionH relativeFrom="column">
            <wp:posOffset>-948055</wp:posOffset>
          </wp:positionH>
          <wp:positionV relativeFrom="paragraph">
            <wp:posOffset>-174625</wp:posOffset>
          </wp:positionV>
          <wp:extent cx="1432560" cy="384175"/>
          <wp:effectExtent l="0" t="0" r="0" b="0"/>
          <wp:wrapThrough wrapText="bothSides">
            <wp:wrapPolygon edited="0">
              <wp:start x="0" y="0"/>
              <wp:lineTo x="0" y="20350"/>
              <wp:lineTo x="20394" y="20350"/>
              <wp:lineTo x="21255" y="16066"/>
              <wp:lineTo x="21255" y="4284"/>
              <wp:lineTo x="2039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84175"/>
                  </a:xfrm>
                  <a:prstGeom prst="rect">
                    <a:avLst/>
                  </a:prstGeom>
                  <a:noFill/>
                </pic:spPr>
              </pic:pic>
            </a:graphicData>
          </a:graphic>
        </wp:anchor>
      </w:drawing>
    </w:r>
    <w:r w:rsidRPr="007D476C">
      <w:rPr>
        <w:rFonts w:ascii="Arial" w:hAnsi="Arial" w:cs="Arial"/>
        <w:noProof/>
        <w:color w:val="1D1B11"/>
        <w:highlight w:val="yellow"/>
      </w:rPr>
      <w:drawing>
        <wp:anchor distT="0" distB="0" distL="114300" distR="114300" simplePos="0" relativeHeight="251660288" behindDoc="1" locked="0" layoutInCell="1" allowOverlap="1" wp14:anchorId="331DF3C5" wp14:editId="4B0E4BA3">
          <wp:simplePos x="0" y="0"/>
          <wp:positionH relativeFrom="column">
            <wp:posOffset>666750</wp:posOffset>
          </wp:positionH>
          <wp:positionV relativeFrom="paragraph">
            <wp:posOffset>-220345</wp:posOffset>
          </wp:positionV>
          <wp:extent cx="1666875" cy="505460"/>
          <wp:effectExtent l="0" t="0" r="9525" b="8890"/>
          <wp:wrapThrough wrapText="bothSides">
            <wp:wrapPolygon edited="0">
              <wp:start x="0" y="0"/>
              <wp:lineTo x="0" y="21166"/>
              <wp:lineTo x="21477" y="21166"/>
              <wp:lineTo x="21477" y="0"/>
              <wp:lineTo x="0" y="0"/>
            </wp:wrapPolygon>
          </wp:wrapThrough>
          <wp:docPr id="10" name="Imagen 10" descr="M:\Documents\9. CYTED 2017\LIBRO RED RITTMA\Figuras y Tablas\logos portada\Logo RIT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9. CYTED 2017\LIBRO RED RITTMA\Figuras y Tablas\logos portada\Logo RITMM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highlight w:val="yellow"/>
      </w:rPr>
      <w:drawing>
        <wp:anchor distT="0" distB="0" distL="114300" distR="114300" simplePos="0" relativeHeight="251662336" behindDoc="0" locked="0" layoutInCell="1" allowOverlap="1" wp14:anchorId="2B7F0485" wp14:editId="5273BFA5">
          <wp:simplePos x="0" y="0"/>
          <wp:positionH relativeFrom="margin">
            <wp:posOffset>2458720</wp:posOffset>
          </wp:positionH>
          <wp:positionV relativeFrom="paragraph">
            <wp:posOffset>-339725</wp:posOffset>
          </wp:positionV>
          <wp:extent cx="829310" cy="639445"/>
          <wp:effectExtent l="0" t="0" r="8890" b="8255"/>
          <wp:wrapThrough wrapText="bothSides">
            <wp:wrapPolygon edited="0">
              <wp:start x="0" y="0"/>
              <wp:lineTo x="0" y="21235"/>
              <wp:lineTo x="21335" y="21235"/>
              <wp:lineTo x="2133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639445"/>
                  </a:xfrm>
                  <a:prstGeom prst="rect">
                    <a:avLst/>
                  </a:prstGeom>
                  <a:noFill/>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rPr>
      <mc:AlternateContent>
        <mc:Choice Requires="wpg">
          <w:drawing>
            <wp:anchor distT="0" distB="0" distL="114300" distR="114300" simplePos="0" relativeHeight="251659264" behindDoc="0" locked="0" layoutInCell="1" allowOverlap="1" wp14:anchorId="085CD8B7" wp14:editId="3D9E0FC0">
              <wp:simplePos x="0" y="0"/>
              <wp:positionH relativeFrom="column">
                <wp:posOffset>3468370</wp:posOffset>
              </wp:positionH>
              <wp:positionV relativeFrom="paragraph">
                <wp:posOffset>-448310</wp:posOffset>
              </wp:positionV>
              <wp:extent cx="2752725" cy="923925"/>
              <wp:effectExtent l="0" t="0" r="9525" b="9525"/>
              <wp:wrapNone/>
              <wp:docPr id="6" name="Grupo 6"/>
              <wp:cNvGraphicFramePr/>
              <a:graphic xmlns:a="http://schemas.openxmlformats.org/drawingml/2006/main">
                <a:graphicData uri="http://schemas.microsoft.com/office/word/2010/wordprocessingGroup">
                  <wpg:wgp>
                    <wpg:cNvGrpSpPr/>
                    <wpg:grpSpPr>
                      <a:xfrm>
                        <a:off x="0" y="0"/>
                        <a:ext cx="2752725" cy="923925"/>
                        <a:chOff x="0" y="0"/>
                        <a:chExt cx="2933700" cy="981075"/>
                      </a:xfrm>
                    </wpg:grpSpPr>
                    <wps:wsp>
                      <wps:cNvPr id="217" name="Cuadro de texto 2"/>
                      <wps:cNvSpPr txBox="1">
                        <a:spLocks noChangeArrowheads="1"/>
                      </wps:cNvSpPr>
                      <wps:spPr bwMode="auto">
                        <a:xfrm>
                          <a:off x="1285875" y="104775"/>
                          <a:ext cx="1647825" cy="857250"/>
                        </a:xfrm>
                        <a:prstGeom prst="rect">
                          <a:avLst/>
                        </a:prstGeom>
                        <a:solidFill>
                          <a:srgbClr val="FFFFFF"/>
                        </a:solidFill>
                        <a:ln w="9525">
                          <a:noFill/>
                          <a:miter lim="800000"/>
                          <a:headEnd/>
                          <a:tailEnd/>
                        </a:ln>
                      </wps:spPr>
                      <wps:txb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wps:txbx>
                      <wps:bodyPr rot="0" vert="horz" wrap="square" lIns="91440" tIns="45720" rIns="91440" bIns="45720" anchor="t" anchorCtr="0">
                        <a:noAutofit/>
                      </wps:bodyPr>
                    </wps:wsp>
                    <pic:pic xmlns:pic="http://schemas.openxmlformats.org/drawingml/2006/picture">
                      <pic:nvPicPr>
                        <pic:cNvPr id="2" name="Imagen 2" descr="Boomerang"/>
                        <pic:cNvPicPr>
                          <a:picLocks noChangeAspect="1"/>
                        </pic:cNvPicPr>
                      </pic:nvPicPr>
                      <pic:blipFill rotWithShape="1">
                        <a:blip r:embed="rId4">
                          <a:extLst>
                            <a:ext uri="{28A0092B-C50C-407E-A947-70E740481C1C}">
                              <a14:useLocalDpi xmlns:a14="http://schemas.microsoft.com/office/drawing/2010/main" val="0"/>
                            </a:ext>
                          </a:extLst>
                        </a:blip>
                        <a:srcRect r="60360"/>
                        <a:stretch/>
                      </pic:blipFill>
                      <pic:spPr bwMode="auto">
                        <a:xfrm>
                          <a:off x="0" y="0"/>
                          <a:ext cx="1348740" cy="9810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5CD8B7" id="Grupo 6" o:spid="_x0000_s1026" style="position:absolute;margin-left:273.1pt;margin-top:-35.3pt;width:216.75pt;height:72.75pt;z-index:251659264;mso-width-relative:margin;mso-height-relative:margin" coordsize="2933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">
              <v:shapetype id="_x0000_t202" coordsize="21600,21600" o:spt="202" path="m,l,21600r21600,l21600,xe">
                <v:stroke joinstyle="miter"/>
                <v:path gradientshapeok="t" o:connecttype="rect"/>
              </v:shapetype>
              <v:shape id="Cuadro de texto 2" o:spid="_x0000_s1027" type="#_x0000_t202" style="position:absolute;left:12858;top:1047;width:1647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" stroked="f">
                <v:textbo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alt="Boomerang" style="position:absolute;width:13487;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">
                <v:imagedata r:id="rId5" o:title="Boomerang" cropright="39558f"/>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75B6"/>
    <w:multiLevelType w:val="hybridMultilevel"/>
    <w:tmpl w:val="A2D42E7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8D45364"/>
    <w:multiLevelType w:val="hybridMultilevel"/>
    <w:tmpl w:val="CE3445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485D6ABB"/>
    <w:multiLevelType w:val="multilevel"/>
    <w:tmpl w:val="C45A5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4AB"/>
    <w:rsid w:val="000003C3"/>
    <w:rsid w:val="000054E9"/>
    <w:rsid w:val="000123CE"/>
    <w:rsid w:val="00012F9A"/>
    <w:rsid w:val="000164F2"/>
    <w:rsid w:val="00017946"/>
    <w:rsid w:val="000261EC"/>
    <w:rsid w:val="00027222"/>
    <w:rsid w:val="00027577"/>
    <w:rsid w:val="00040D3C"/>
    <w:rsid w:val="00057E54"/>
    <w:rsid w:val="00060520"/>
    <w:rsid w:val="00064268"/>
    <w:rsid w:val="000671D8"/>
    <w:rsid w:val="0006757C"/>
    <w:rsid w:val="00071D40"/>
    <w:rsid w:val="00072961"/>
    <w:rsid w:val="00073679"/>
    <w:rsid w:val="0008489B"/>
    <w:rsid w:val="00093BD5"/>
    <w:rsid w:val="00096E3E"/>
    <w:rsid w:val="000A2379"/>
    <w:rsid w:val="000C7BE0"/>
    <w:rsid w:val="000D02ED"/>
    <w:rsid w:val="000D0DA5"/>
    <w:rsid w:val="000D377E"/>
    <w:rsid w:val="000D5A78"/>
    <w:rsid w:val="000D735E"/>
    <w:rsid w:val="000E4166"/>
    <w:rsid w:val="000E4F95"/>
    <w:rsid w:val="000F2719"/>
    <w:rsid w:val="00100205"/>
    <w:rsid w:val="001052CF"/>
    <w:rsid w:val="00106694"/>
    <w:rsid w:val="00111F74"/>
    <w:rsid w:val="0011292B"/>
    <w:rsid w:val="00115740"/>
    <w:rsid w:val="00121FA7"/>
    <w:rsid w:val="0012717A"/>
    <w:rsid w:val="00130B12"/>
    <w:rsid w:val="00141782"/>
    <w:rsid w:val="00142547"/>
    <w:rsid w:val="00143E28"/>
    <w:rsid w:val="00147D29"/>
    <w:rsid w:val="00147DB2"/>
    <w:rsid w:val="00152B8F"/>
    <w:rsid w:val="00154657"/>
    <w:rsid w:val="0015546E"/>
    <w:rsid w:val="00162133"/>
    <w:rsid w:val="001632C9"/>
    <w:rsid w:val="00166B4D"/>
    <w:rsid w:val="00172639"/>
    <w:rsid w:val="00176A6A"/>
    <w:rsid w:val="00176F0A"/>
    <w:rsid w:val="00180E08"/>
    <w:rsid w:val="00184454"/>
    <w:rsid w:val="0019003D"/>
    <w:rsid w:val="001905EB"/>
    <w:rsid w:val="00192E3F"/>
    <w:rsid w:val="001A0F17"/>
    <w:rsid w:val="001A60DA"/>
    <w:rsid w:val="001B010A"/>
    <w:rsid w:val="001B0580"/>
    <w:rsid w:val="001B2B6F"/>
    <w:rsid w:val="001B37AB"/>
    <w:rsid w:val="001B4000"/>
    <w:rsid w:val="001B5393"/>
    <w:rsid w:val="001B5BC9"/>
    <w:rsid w:val="001C00C5"/>
    <w:rsid w:val="001C307B"/>
    <w:rsid w:val="001C405B"/>
    <w:rsid w:val="001C7FFB"/>
    <w:rsid w:val="001D0D89"/>
    <w:rsid w:val="001D25B2"/>
    <w:rsid w:val="001D333C"/>
    <w:rsid w:val="001D3B35"/>
    <w:rsid w:val="001D5934"/>
    <w:rsid w:val="001D6B22"/>
    <w:rsid w:val="001D788D"/>
    <w:rsid w:val="001E0CC0"/>
    <w:rsid w:val="001E69EA"/>
    <w:rsid w:val="001F59B8"/>
    <w:rsid w:val="002030FF"/>
    <w:rsid w:val="00203FFA"/>
    <w:rsid w:val="00207E89"/>
    <w:rsid w:val="00214B91"/>
    <w:rsid w:val="00214C47"/>
    <w:rsid w:val="00220DFB"/>
    <w:rsid w:val="002220EA"/>
    <w:rsid w:val="002340BE"/>
    <w:rsid w:val="00242C2A"/>
    <w:rsid w:val="00243537"/>
    <w:rsid w:val="00246A56"/>
    <w:rsid w:val="00255942"/>
    <w:rsid w:val="002570C6"/>
    <w:rsid w:val="002615E4"/>
    <w:rsid w:val="00264F2B"/>
    <w:rsid w:val="00265BFC"/>
    <w:rsid w:val="0027197E"/>
    <w:rsid w:val="00274AC3"/>
    <w:rsid w:val="002778F6"/>
    <w:rsid w:val="0028026B"/>
    <w:rsid w:val="002833EA"/>
    <w:rsid w:val="002843D2"/>
    <w:rsid w:val="002846CE"/>
    <w:rsid w:val="00286AA9"/>
    <w:rsid w:val="00290318"/>
    <w:rsid w:val="00290DF4"/>
    <w:rsid w:val="00292C3F"/>
    <w:rsid w:val="002B5347"/>
    <w:rsid w:val="002B7AD5"/>
    <w:rsid w:val="002C076B"/>
    <w:rsid w:val="002C08F4"/>
    <w:rsid w:val="002C5715"/>
    <w:rsid w:val="002D2771"/>
    <w:rsid w:val="002D7FE2"/>
    <w:rsid w:val="002E0639"/>
    <w:rsid w:val="002E365B"/>
    <w:rsid w:val="002E428A"/>
    <w:rsid w:val="002F2B1C"/>
    <w:rsid w:val="002F5FC6"/>
    <w:rsid w:val="00301AF8"/>
    <w:rsid w:val="00304034"/>
    <w:rsid w:val="00320D92"/>
    <w:rsid w:val="00320E66"/>
    <w:rsid w:val="003243D3"/>
    <w:rsid w:val="00324D75"/>
    <w:rsid w:val="00340BC7"/>
    <w:rsid w:val="00351D23"/>
    <w:rsid w:val="0035407C"/>
    <w:rsid w:val="003540CC"/>
    <w:rsid w:val="00354C71"/>
    <w:rsid w:val="0035671F"/>
    <w:rsid w:val="00360634"/>
    <w:rsid w:val="00360D01"/>
    <w:rsid w:val="003619E6"/>
    <w:rsid w:val="003627D5"/>
    <w:rsid w:val="00372A7C"/>
    <w:rsid w:val="003760E3"/>
    <w:rsid w:val="00390169"/>
    <w:rsid w:val="0039448D"/>
    <w:rsid w:val="003978FD"/>
    <w:rsid w:val="003A20E8"/>
    <w:rsid w:val="003B39C7"/>
    <w:rsid w:val="003B641A"/>
    <w:rsid w:val="003C0974"/>
    <w:rsid w:val="003C13FA"/>
    <w:rsid w:val="003C1F4E"/>
    <w:rsid w:val="003C2AF4"/>
    <w:rsid w:val="003C67FE"/>
    <w:rsid w:val="003E3F50"/>
    <w:rsid w:val="003E707C"/>
    <w:rsid w:val="004004B6"/>
    <w:rsid w:val="004011BF"/>
    <w:rsid w:val="0040167C"/>
    <w:rsid w:val="00412541"/>
    <w:rsid w:val="004166A9"/>
    <w:rsid w:val="00422176"/>
    <w:rsid w:val="0043263B"/>
    <w:rsid w:val="00433AB5"/>
    <w:rsid w:val="00437D97"/>
    <w:rsid w:val="004465FF"/>
    <w:rsid w:val="00447930"/>
    <w:rsid w:val="004512E1"/>
    <w:rsid w:val="00453A9C"/>
    <w:rsid w:val="00453B77"/>
    <w:rsid w:val="004621A5"/>
    <w:rsid w:val="00462E21"/>
    <w:rsid w:val="00464DC2"/>
    <w:rsid w:val="0048127B"/>
    <w:rsid w:val="00483ADE"/>
    <w:rsid w:val="004840A7"/>
    <w:rsid w:val="004845D0"/>
    <w:rsid w:val="00484E4B"/>
    <w:rsid w:val="00486BAA"/>
    <w:rsid w:val="0049206C"/>
    <w:rsid w:val="0049500C"/>
    <w:rsid w:val="00496CC0"/>
    <w:rsid w:val="004A1E8A"/>
    <w:rsid w:val="004A46CA"/>
    <w:rsid w:val="004A625A"/>
    <w:rsid w:val="004A6280"/>
    <w:rsid w:val="004A6E01"/>
    <w:rsid w:val="004B4DDD"/>
    <w:rsid w:val="004B5C3C"/>
    <w:rsid w:val="004C0B51"/>
    <w:rsid w:val="004C4C38"/>
    <w:rsid w:val="004C5D23"/>
    <w:rsid w:val="004C70DA"/>
    <w:rsid w:val="004D0C50"/>
    <w:rsid w:val="004D4FC6"/>
    <w:rsid w:val="004D54DD"/>
    <w:rsid w:val="004D7B80"/>
    <w:rsid w:val="004E270B"/>
    <w:rsid w:val="004E54B3"/>
    <w:rsid w:val="004F05F4"/>
    <w:rsid w:val="004F76A5"/>
    <w:rsid w:val="00500027"/>
    <w:rsid w:val="0050392A"/>
    <w:rsid w:val="00505FCB"/>
    <w:rsid w:val="00510356"/>
    <w:rsid w:val="0051390B"/>
    <w:rsid w:val="00513FEB"/>
    <w:rsid w:val="00526EF1"/>
    <w:rsid w:val="00534E2C"/>
    <w:rsid w:val="00535060"/>
    <w:rsid w:val="00540021"/>
    <w:rsid w:val="00551203"/>
    <w:rsid w:val="00552E7B"/>
    <w:rsid w:val="005561C6"/>
    <w:rsid w:val="00557E05"/>
    <w:rsid w:val="00560F4B"/>
    <w:rsid w:val="005647CA"/>
    <w:rsid w:val="00566402"/>
    <w:rsid w:val="005765D4"/>
    <w:rsid w:val="0057707E"/>
    <w:rsid w:val="00580CB1"/>
    <w:rsid w:val="00584E21"/>
    <w:rsid w:val="00585EB7"/>
    <w:rsid w:val="005874F8"/>
    <w:rsid w:val="005920E1"/>
    <w:rsid w:val="00597946"/>
    <w:rsid w:val="005A2CF8"/>
    <w:rsid w:val="005A404A"/>
    <w:rsid w:val="005A4211"/>
    <w:rsid w:val="005A52DE"/>
    <w:rsid w:val="005A5ABF"/>
    <w:rsid w:val="005B228B"/>
    <w:rsid w:val="005B602F"/>
    <w:rsid w:val="005C1920"/>
    <w:rsid w:val="005C1975"/>
    <w:rsid w:val="005C1D89"/>
    <w:rsid w:val="005C28CD"/>
    <w:rsid w:val="005C3E0C"/>
    <w:rsid w:val="005C55EC"/>
    <w:rsid w:val="005C7AE1"/>
    <w:rsid w:val="005D1C85"/>
    <w:rsid w:val="005D1F36"/>
    <w:rsid w:val="005E5F38"/>
    <w:rsid w:val="005E6C50"/>
    <w:rsid w:val="005F203F"/>
    <w:rsid w:val="005F2C44"/>
    <w:rsid w:val="005F429B"/>
    <w:rsid w:val="00605C09"/>
    <w:rsid w:val="00614747"/>
    <w:rsid w:val="006244ED"/>
    <w:rsid w:val="00625163"/>
    <w:rsid w:val="006375D9"/>
    <w:rsid w:val="00641667"/>
    <w:rsid w:val="006419CF"/>
    <w:rsid w:val="00642373"/>
    <w:rsid w:val="00653A27"/>
    <w:rsid w:val="00656956"/>
    <w:rsid w:val="00657AEE"/>
    <w:rsid w:val="00662293"/>
    <w:rsid w:val="00664A95"/>
    <w:rsid w:val="0067345A"/>
    <w:rsid w:val="00675814"/>
    <w:rsid w:val="006763FA"/>
    <w:rsid w:val="006818BD"/>
    <w:rsid w:val="00681901"/>
    <w:rsid w:val="00682A07"/>
    <w:rsid w:val="00684516"/>
    <w:rsid w:val="00685A31"/>
    <w:rsid w:val="0068602F"/>
    <w:rsid w:val="00687D71"/>
    <w:rsid w:val="006A01B5"/>
    <w:rsid w:val="006A3435"/>
    <w:rsid w:val="006A6E39"/>
    <w:rsid w:val="006B1EE1"/>
    <w:rsid w:val="006B3C9F"/>
    <w:rsid w:val="006C4D6C"/>
    <w:rsid w:val="006D1290"/>
    <w:rsid w:val="006D2662"/>
    <w:rsid w:val="006E2CD7"/>
    <w:rsid w:val="006E35F7"/>
    <w:rsid w:val="006E5A9E"/>
    <w:rsid w:val="006E638B"/>
    <w:rsid w:val="006F1947"/>
    <w:rsid w:val="006F31D0"/>
    <w:rsid w:val="00700684"/>
    <w:rsid w:val="0070600D"/>
    <w:rsid w:val="007147D0"/>
    <w:rsid w:val="00716619"/>
    <w:rsid w:val="00716F83"/>
    <w:rsid w:val="00722B7A"/>
    <w:rsid w:val="0072654D"/>
    <w:rsid w:val="007272C1"/>
    <w:rsid w:val="00730A75"/>
    <w:rsid w:val="00732397"/>
    <w:rsid w:val="0073447F"/>
    <w:rsid w:val="007371ED"/>
    <w:rsid w:val="00737A79"/>
    <w:rsid w:val="007414D3"/>
    <w:rsid w:val="0074534D"/>
    <w:rsid w:val="00745C6E"/>
    <w:rsid w:val="00746838"/>
    <w:rsid w:val="007516A2"/>
    <w:rsid w:val="0075318D"/>
    <w:rsid w:val="00756ECB"/>
    <w:rsid w:val="0077120C"/>
    <w:rsid w:val="0077349A"/>
    <w:rsid w:val="0077379C"/>
    <w:rsid w:val="007754B7"/>
    <w:rsid w:val="00782FDA"/>
    <w:rsid w:val="007847D0"/>
    <w:rsid w:val="007908D8"/>
    <w:rsid w:val="00791128"/>
    <w:rsid w:val="00792686"/>
    <w:rsid w:val="007A2F46"/>
    <w:rsid w:val="007A3A19"/>
    <w:rsid w:val="007A58C1"/>
    <w:rsid w:val="007A674C"/>
    <w:rsid w:val="007A7ED5"/>
    <w:rsid w:val="007B010A"/>
    <w:rsid w:val="007B1AB9"/>
    <w:rsid w:val="007B4D42"/>
    <w:rsid w:val="007B5441"/>
    <w:rsid w:val="007B7360"/>
    <w:rsid w:val="007C1891"/>
    <w:rsid w:val="007C34BD"/>
    <w:rsid w:val="007D0136"/>
    <w:rsid w:val="007D356F"/>
    <w:rsid w:val="007D4682"/>
    <w:rsid w:val="007D476C"/>
    <w:rsid w:val="007D6FC9"/>
    <w:rsid w:val="007E6846"/>
    <w:rsid w:val="00802876"/>
    <w:rsid w:val="0081013F"/>
    <w:rsid w:val="00814C59"/>
    <w:rsid w:val="00820290"/>
    <w:rsid w:val="00823029"/>
    <w:rsid w:val="00834B0B"/>
    <w:rsid w:val="008364AB"/>
    <w:rsid w:val="00841670"/>
    <w:rsid w:val="0084378E"/>
    <w:rsid w:val="00843932"/>
    <w:rsid w:val="00852426"/>
    <w:rsid w:val="00854A1A"/>
    <w:rsid w:val="0086018A"/>
    <w:rsid w:val="00862DEC"/>
    <w:rsid w:val="0086706D"/>
    <w:rsid w:val="00870ADF"/>
    <w:rsid w:val="00870E0B"/>
    <w:rsid w:val="00873787"/>
    <w:rsid w:val="00875C90"/>
    <w:rsid w:val="00876EA7"/>
    <w:rsid w:val="008805C7"/>
    <w:rsid w:val="00884AEB"/>
    <w:rsid w:val="00890936"/>
    <w:rsid w:val="008935F2"/>
    <w:rsid w:val="00894D77"/>
    <w:rsid w:val="008A44BA"/>
    <w:rsid w:val="008A6CF7"/>
    <w:rsid w:val="008B0D47"/>
    <w:rsid w:val="008B1976"/>
    <w:rsid w:val="008B1E91"/>
    <w:rsid w:val="008B4CC9"/>
    <w:rsid w:val="008B6079"/>
    <w:rsid w:val="008C02F1"/>
    <w:rsid w:val="008C3B1B"/>
    <w:rsid w:val="008C6048"/>
    <w:rsid w:val="008D09C2"/>
    <w:rsid w:val="008D455C"/>
    <w:rsid w:val="008E109D"/>
    <w:rsid w:val="008E32D6"/>
    <w:rsid w:val="008E4878"/>
    <w:rsid w:val="008E4F17"/>
    <w:rsid w:val="008E5AF6"/>
    <w:rsid w:val="008E7435"/>
    <w:rsid w:val="008E764A"/>
    <w:rsid w:val="008E7AE7"/>
    <w:rsid w:val="008F11CD"/>
    <w:rsid w:val="008F46CF"/>
    <w:rsid w:val="008F55C8"/>
    <w:rsid w:val="008F6D2A"/>
    <w:rsid w:val="009043CF"/>
    <w:rsid w:val="009048EA"/>
    <w:rsid w:val="009052F7"/>
    <w:rsid w:val="00906FD3"/>
    <w:rsid w:val="00915AF6"/>
    <w:rsid w:val="0091625D"/>
    <w:rsid w:val="009256AC"/>
    <w:rsid w:val="00931198"/>
    <w:rsid w:val="00931CF2"/>
    <w:rsid w:val="00931DA4"/>
    <w:rsid w:val="009324E7"/>
    <w:rsid w:val="00943668"/>
    <w:rsid w:val="0095204C"/>
    <w:rsid w:val="0095668C"/>
    <w:rsid w:val="009569C5"/>
    <w:rsid w:val="00957ED2"/>
    <w:rsid w:val="009649F0"/>
    <w:rsid w:val="00977B06"/>
    <w:rsid w:val="009818A0"/>
    <w:rsid w:val="00984467"/>
    <w:rsid w:val="00984CD4"/>
    <w:rsid w:val="00990424"/>
    <w:rsid w:val="00992090"/>
    <w:rsid w:val="00992AA3"/>
    <w:rsid w:val="009A072A"/>
    <w:rsid w:val="009A0A8E"/>
    <w:rsid w:val="009A0DD8"/>
    <w:rsid w:val="009A1F5D"/>
    <w:rsid w:val="009A69F8"/>
    <w:rsid w:val="009B010C"/>
    <w:rsid w:val="009B01A5"/>
    <w:rsid w:val="009D1659"/>
    <w:rsid w:val="009D459A"/>
    <w:rsid w:val="009E009E"/>
    <w:rsid w:val="009E07AB"/>
    <w:rsid w:val="009E28E7"/>
    <w:rsid w:val="009F1E65"/>
    <w:rsid w:val="009F42E3"/>
    <w:rsid w:val="009F74D7"/>
    <w:rsid w:val="009F7FFE"/>
    <w:rsid w:val="00A03E67"/>
    <w:rsid w:val="00A04F07"/>
    <w:rsid w:val="00A069AB"/>
    <w:rsid w:val="00A06C0A"/>
    <w:rsid w:val="00A102B9"/>
    <w:rsid w:val="00A13AD5"/>
    <w:rsid w:val="00A1657D"/>
    <w:rsid w:val="00A175AA"/>
    <w:rsid w:val="00A2096D"/>
    <w:rsid w:val="00A33A8F"/>
    <w:rsid w:val="00A34A5E"/>
    <w:rsid w:val="00A42240"/>
    <w:rsid w:val="00A42A9A"/>
    <w:rsid w:val="00A44990"/>
    <w:rsid w:val="00A51818"/>
    <w:rsid w:val="00A642B2"/>
    <w:rsid w:val="00A7002A"/>
    <w:rsid w:val="00A800DF"/>
    <w:rsid w:val="00A9013B"/>
    <w:rsid w:val="00A91D8C"/>
    <w:rsid w:val="00A95BB6"/>
    <w:rsid w:val="00AA0715"/>
    <w:rsid w:val="00AA232D"/>
    <w:rsid w:val="00AA4D52"/>
    <w:rsid w:val="00AA6DDE"/>
    <w:rsid w:val="00AC0058"/>
    <w:rsid w:val="00AC1568"/>
    <w:rsid w:val="00AC626F"/>
    <w:rsid w:val="00AD0950"/>
    <w:rsid w:val="00AD1396"/>
    <w:rsid w:val="00AD42C4"/>
    <w:rsid w:val="00AD666C"/>
    <w:rsid w:val="00AD7D57"/>
    <w:rsid w:val="00AE3CC4"/>
    <w:rsid w:val="00AE4361"/>
    <w:rsid w:val="00AF7DAA"/>
    <w:rsid w:val="00B02FA0"/>
    <w:rsid w:val="00B05EFB"/>
    <w:rsid w:val="00B06DE8"/>
    <w:rsid w:val="00B12999"/>
    <w:rsid w:val="00B12DF1"/>
    <w:rsid w:val="00B12EF4"/>
    <w:rsid w:val="00B13823"/>
    <w:rsid w:val="00B161DE"/>
    <w:rsid w:val="00B17F9C"/>
    <w:rsid w:val="00B235C6"/>
    <w:rsid w:val="00B27A39"/>
    <w:rsid w:val="00B3174C"/>
    <w:rsid w:val="00B40540"/>
    <w:rsid w:val="00B40A2B"/>
    <w:rsid w:val="00B40E10"/>
    <w:rsid w:val="00B5012A"/>
    <w:rsid w:val="00B567D3"/>
    <w:rsid w:val="00B60952"/>
    <w:rsid w:val="00B6282F"/>
    <w:rsid w:val="00B65B9B"/>
    <w:rsid w:val="00B66AA0"/>
    <w:rsid w:val="00B8026C"/>
    <w:rsid w:val="00B810EB"/>
    <w:rsid w:val="00B81624"/>
    <w:rsid w:val="00B81BE9"/>
    <w:rsid w:val="00B96ACD"/>
    <w:rsid w:val="00BA5468"/>
    <w:rsid w:val="00BB2505"/>
    <w:rsid w:val="00BB40D6"/>
    <w:rsid w:val="00BB6B8D"/>
    <w:rsid w:val="00BB6E23"/>
    <w:rsid w:val="00BB6F69"/>
    <w:rsid w:val="00BC4194"/>
    <w:rsid w:val="00BC5294"/>
    <w:rsid w:val="00BC7C27"/>
    <w:rsid w:val="00BD1D72"/>
    <w:rsid w:val="00BE0008"/>
    <w:rsid w:val="00BE0A6D"/>
    <w:rsid w:val="00BF248D"/>
    <w:rsid w:val="00BF3BDF"/>
    <w:rsid w:val="00BF4161"/>
    <w:rsid w:val="00BF5B44"/>
    <w:rsid w:val="00BF7C81"/>
    <w:rsid w:val="00C05AED"/>
    <w:rsid w:val="00C07F26"/>
    <w:rsid w:val="00C130E3"/>
    <w:rsid w:val="00C14621"/>
    <w:rsid w:val="00C2116A"/>
    <w:rsid w:val="00C2620B"/>
    <w:rsid w:val="00C3452D"/>
    <w:rsid w:val="00C40D8D"/>
    <w:rsid w:val="00C4161C"/>
    <w:rsid w:val="00C4224A"/>
    <w:rsid w:val="00C52573"/>
    <w:rsid w:val="00C54E25"/>
    <w:rsid w:val="00C612C7"/>
    <w:rsid w:val="00C674DB"/>
    <w:rsid w:val="00C73E81"/>
    <w:rsid w:val="00C74246"/>
    <w:rsid w:val="00C75CCA"/>
    <w:rsid w:val="00C80E01"/>
    <w:rsid w:val="00C82987"/>
    <w:rsid w:val="00C85883"/>
    <w:rsid w:val="00C86394"/>
    <w:rsid w:val="00C90840"/>
    <w:rsid w:val="00C96F84"/>
    <w:rsid w:val="00C97153"/>
    <w:rsid w:val="00CA12C6"/>
    <w:rsid w:val="00CA250A"/>
    <w:rsid w:val="00CB2031"/>
    <w:rsid w:val="00CB58D2"/>
    <w:rsid w:val="00CB75D2"/>
    <w:rsid w:val="00CC13C2"/>
    <w:rsid w:val="00CC581E"/>
    <w:rsid w:val="00CC7FDF"/>
    <w:rsid w:val="00CD0F73"/>
    <w:rsid w:val="00CD1DC8"/>
    <w:rsid w:val="00CD4787"/>
    <w:rsid w:val="00CD4CCF"/>
    <w:rsid w:val="00CE2591"/>
    <w:rsid w:val="00CE5BA5"/>
    <w:rsid w:val="00CF0620"/>
    <w:rsid w:val="00CF33EC"/>
    <w:rsid w:val="00CF7337"/>
    <w:rsid w:val="00CF7722"/>
    <w:rsid w:val="00D038AB"/>
    <w:rsid w:val="00D055BC"/>
    <w:rsid w:val="00D06E20"/>
    <w:rsid w:val="00D07945"/>
    <w:rsid w:val="00D079A9"/>
    <w:rsid w:val="00D1403D"/>
    <w:rsid w:val="00D14E6C"/>
    <w:rsid w:val="00D21ECB"/>
    <w:rsid w:val="00D25B1C"/>
    <w:rsid w:val="00D25BAD"/>
    <w:rsid w:val="00D26799"/>
    <w:rsid w:val="00D27ACE"/>
    <w:rsid w:val="00D31DBA"/>
    <w:rsid w:val="00D3221D"/>
    <w:rsid w:val="00D34530"/>
    <w:rsid w:val="00D35C7F"/>
    <w:rsid w:val="00D60290"/>
    <w:rsid w:val="00D631F0"/>
    <w:rsid w:val="00D63A7A"/>
    <w:rsid w:val="00D70668"/>
    <w:rsid w:val="00D740DF"/>
    <w:rsid w:val="00D77D97"/>
    <w:rsid w:val="00D82068"/>
    <w:rsid w:val="00D82D97"/>
    <w:rsid w:val="00D92252"/>
    <w:rsid w:val="00D94B13"/>
    <w:rsid w:val="00D96468"/>
    <w:rsid w:val="00D96F4A"/>
    <w:rsid w:val="00DA2D9F"/>
    <w:rsid w:val="00DA378A"/>
    <w:rsid w:val="00DA5C1A"/>
    <w:rsid w:val="00DA6D4A"/>
    <w:rsid w:val="00DB2506"/>
    <w:rsid w:val="00DB384B"/>
    <w:rsid w:val="00DB6336"/>
    <w:rsid w:val="00DB7F0D"/>
    <w:rsid w:val="00DC0D58"/>
    <w:rsid w:val="00DC0E4A"/>
    <w:rsid w:val="00DC1CC3"/>
    <w:rsid w:val="00DD39D6"/>
    <w:rsid w:val="00DD3BC8"/>
    <w:rsid w:val="00DD7D71"/>
    <w:rsid w:val="00DE356F"/>
    <w:rsid w:val="00DE3C35"/>
    <w:rsid w:val="00DE5960"/>
    <w:rsid w:val="00DF5016"/>
    <w:rsid w:val="00E00E14"/>
    <w:rsid w:val="00E02A3D"/>
    <w:rsid w:val="00E04449"/>
    <w:rsid w:val="00E05BF2"/>
    <w:rsid w:val="00E10FF3"/>
    <w:rsid w:val="00E15D2B"/>
    <w:rsid w:val="00E20E7A"/>
    <w:rsid w:val="00E242C5"/>
    <w:rsid w:val="00E24C42"/>
    <w:rsid w:val="00E25441"/>
    <w:rsid w:val="00E36958"/>
    <w:rsid w:val="00E41F74"/>
    <w:rsid w:val="00E46125"/>
    <w:rsid w:val="00E5300A"/>
    <w:rsid w:val="00E54478"/>
    <w:rsid w:val="00E66E40"/>
    <w:rsid w:val="00E72F28"/>
    <w:rsid w:val="00E765FA"/>
    <w:rsid w:val="00E76C3A"/>
    <w:rsid w:val="00E806A4"/>
    <w:rsid w:val="00E83A35"/>
    <w:rsid w:val="00E8629E"/>
    <w:rsid w:val="00E92483"/>
    <w:rsid w:val="00E939FE"/>
    <w:rsid w:val="00E94FEB"/>
    <w:rsid w:val="00E9540F"/>
    <w:rsid w:val="00EA3CD1"/>
    <w:rsid w:val="00EA6EF6"/>
    <w:rsid w:val="00EB21DF"/>
    <w:rsid w:val="00EB2A4D"/>
    <w:rsid w:val="00EB36C3"/>
    <w:rsid w:val="00EB6CE3"/>
    <w:rsid w:val="00EC4390"/>
    <w:rsid w:val="00EC5293"/>
    <w:rsid w:val="00EC7947"/>
    <w:rsid w:val="00ED3330"/>
    <w:rsid w:val="00ED4137"/>
    <w:rsid w:val="00ED587C"/>
    <w:rsid w:val="00ED7856"/>
    <w:rsid w:val="00EE0D97"/>
    <w:rsid w:val="00EE1478"/>
    <w:rsid w:val="00EE6819"/>
    <w:rsid w:val="00EE79C3"/>
    <w:rsid w:val="00EF5E24"/>
    <w:rsid w:val="00EF61EB"/>
    <w:rsid w:val="00F00FD4"/>
    <w:rsid w:val="00F12078"/>
    <w:rsid w:val="00F155F5"/>
    <w:rsid w:val="00F21071"/>
    <w:rsid w:val="00F21FC3"/>
    <w:rsid w:val="00F2286E"/>
    <w:rsid w:val="00F23ABB"/>
    <w:rsid w:val="00F25669"/>
    <w:rsid w:val="00F3034A"/>
    <w:rsid w:val="00F31322"/>
    <w:rsid w:val="00F37D01"/>
    <w:rsid w:val="00F4714F"/>
    <w:rsid w:val="00F52788"/>
    <w:rsid w:val="00F649CC"/>
    <w:rsid w:val="00F65E7A"/>
    <w:rsid w:val="00F70E2B"/>
    <w:rsid w:val="00F722B9"/>
    <w:rsid w:val="00F8269B"/>
    <w:rsid w:val="00F82B46"/>
    <w:rsid w:val="00F82D14"/>
    <w:rsid w:val="00F850C2"/>
    <w:rsid w:val="00F86E11"/>
    <w:rsid w:val="00F949A4"/>
    <w:rsid w:val="00FA49FE"/>
    <w:rsid w:val="00FB0449"/>
    <w:rsid w:val="00FB4084"/>
    <w:rsid w:val="00FB5E4E"/>
    <w:rsid w:val="00FC5029"/>
    <w:rsid w:val="00FC704C"/>
    <w:rsid w:val="00FD30EE"/>
    <w:rsid w:val="00FD6058"/>
    <w:rsid w:val="00FE1408"/>
    <w:rsid w:val="00FE1525"/>
    <w:rsid w:val="00FE3FBA"/>
    <w:rsid w:val="00FE56B0"/>
    <w:rsid w:val="00FF5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54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99"/>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
    <w:name w:val="Body Text"/>
    <w:basedOn w:val="Normal"/>
    <w:link w:val="TextodecuerpoCar"/>
    <w:uiPriority w:val="99"/>
    <w:rsid w:val="002E428A"/>
    <w:pPr>
      <w:jc w:val="center"/>
    </w:pPr>
    <w:rPr>
      <w:rFonts w:eastAsia="Times New Roman"/>
      <w:b/>
      <w:bCs/>
      <w:lang w:val="es-MX"/>
    </w:rPr>
  </w:style>
  <w:style w:type="character" w:customStyle="1" w:styleId="TextodecuerpoCar">
    <w:name w:val="Texto de cuerpo Car"/>
    <w:link w:val="Textodecuerpo"/>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character" w:customStyle="1" w:styleId="UnresolvedMention">
    <w:name w:val="Unresolved Mention"/>
    <w:basedOn w:val="Fuentedeprrafopredeter"/>
    <w:uiPriority w:val="99"/>
    <w:semiHidden/>
    <w:unhideWhenUsed/>
    <w:rsid w:val="005647C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99"/>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
    <w:name w:val="Body Text"/>
    <w:basedOn w:val="Normal"/>
    <w:link w:val="TextodecuerpoCar"/>
    <w:uiPriority w:val="99"/>
    <w:rsid w:val="002E428A"/>
    <w:pPr>
      <w:jc w:val="center"/>
    </w:pPr>
    <w:rPr>
      <w:rFonts w:eastAsia="Times New Roman"/>
      <w:b/>
      <w:bCs/>
      <w:lang w:val="es-MX"/>
    </w:rPr>
  </w:style>
  <w:style w:type="character" w:customStyle="1" w:styleId="TextodecuerpoCar">
    <w:name w:val="Texto de cuerpo Car"/>
    <w:link w:val="Textodecuerpo"/>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character" w:customStyle="1" w:styleId="UnresolvedMention">
    <w:name w:val="Unresolved Mention"/>
    <w:basedOn w:val="Fuentedeprrafopredeter"/>
    <w:uiPriority w:val="99"/>
    <w:semiHidden/>
    <w:unhideWhenUsed/>
    <w:rsid w:val="00564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foresight-platform.eu/wp-content/uploads/2011/04/EFMN-Brief-No.-82-Corporate-Foresight-in-Europe.pdf" TargetMode="External"/><Relationship Id="rId12" Type="http://schemas.openxmlformats.org/officeDocument/2006/relationships/hyperlink" Target="https://doi.org/10.1016/j.techfore.2012.10.029" TargetMode="External"/><Relationship Id="rId13" Type="http://schemas.openxmlformats.org/officeDocument/2006/relationships/hyperlink" Target="https://doi.org/10.1016/j.techfore.2014.10.015" TargetMode="External"/><Relationship Id="rId14" Type="http://schemas.openxmlformats.org/officeDocument/2006/relationships/hyperlink" Target="https://doi.org/10.1002/smj.2703" TargetMode="External"/><Relationship Id="rId15" Type="http://schemas.openxmlformats.org/officeDocument/2006/relationships/hyperlink" Target="https://doi.org/10.1016/j.lrp.2017.06.007" TargetMode="External"/><Relationship Id="rId16" Type="http://schemas.openxmlformats.org/officeDocument/2006/relationships/hyperlink" Target="https://doi.org/10.1016/j.techfore.2014.08.016" TargetMode="External"/><Relationship Id="rId17" Type="http://schemas.openxmlformats.org/officeDocument/2006/relationships/hyperlink" Target="https://doi.org/10.1111/caim.12238"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149B-7973-4E42-9EB2-4E8E12379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14172</Words>
  <Characters>77951</Characters>
  <Application>Microsoft Macintosh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Título de la ponencia (Solo primera mayúscula, lo demás en letra minúscula)</vt:lpstr>
    </vt:vector>
  </TitlesOfParts>
  <Company>Hewlett-Packard Company</Company>
  <LinksUpToDate>false</LinksUpToDate>
  <CharactersWithSpaces>91940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la ponencia (Solo primera mayúscula, lo demás en letra minúscula)</dc:title>
  <dc:creator>Rossy</dc:creator>
  <cp:lastModifiedBy>Carla Bermúdez Peña</cp:lastModifiedBy>
  <cp:revision>4</cp:revision>
  <cp:lastPrinted>2020-09-15T15:30:00Z</cp:lastPrinted>
  <dcterms:created xsi:type="dcterms:W3CDTF">2021-11-05T20:32:00Z</dcterms:created>
  <dcterms:modified xsi:type="dcterms:W3CDTF">2021-11-05T20:37:00Z</dcterms:modified>
</cp:coreProperties>
</file>